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42" w:type="dxa"/>
        <w:tblLayout w:type="fixed"/>
        <w:tblCellMar>
          <w:left w:w="70" w:type="dxa"/>
          <w:right w:w="70" w:type="dxa"/>
        </w:tblCellMar>
        <w:tblLook w:val="0000" w:firstRow="0" w:lastRow="0" w:firstColumn="0" w:lastColumn="0" w:noHBand="0" w:noVBand="0"/>
      </w:tblPr>
      <w:tblGrid>
        <w:gridCol w:w="4253"/>
        <w:gridCol w:w="4889"/>
      </w:tblGrid>
      <w:tr w:rsidR="00744E53">
        <w:trPr>
          <w:cantSplit/>
          <w:trHeight w:val="203"/>
        </w:trPr>
        <w:tc>
          <w:tcPr>
            <w:tcW w:w="4253" w:type="dxa"/>
          </w:tcPr>
          <w:p w:rsidR="00744E53" w:rsidRDefault="003F1533">
            <w:pPr>
              <w:pStyle w:val="Absender-Adrefeld"/>
              <w:rPr>
                <w:color w:val="C9211E"/>
              </w:rPr>
            </w:pPr>
            <w:r>
              <w:rPr>
                <w:color w:val="C9211E"/>
              </w:rPr>
              <w:t xml:space="preserve">Aulus </w:t>
            </w:r>
            <w:proofErr w:type="spellStart"/>
            <w:r>
              <w:rPr>
                <w:color w:val="C9211E"/>
              </w:rPr>
              <w:t>Agerius</w:t>
            </w:r>
            <w:proofErr w:type="spellEnd"/>
            <w:r>
              <w:rPr>
                <w:color w:val="C9211E"/>
              </w:rPr>
              <w:t xml:space="preserve"> • Beispielstraße 12 • 12345 Musterstadt</w:t>
            </w:r>
          </w:p>
        </w:tc>
        <w:tc>
          <w:tcPr>
            <w:tcW w:w="4889" w:type="dxa"/>
            <w:vMerge w:val="restart"/>
          </w:tcPr>
          <w:p w:rsidR="00744E53" w:rsidRDefault="003F1533">
            <w:pPr>
              <w:pStyle w:val="Absenderfeld"/>
              <w:ind w:left="2495"/>
              <w:jc w:val="both"/>
            </w:pPr>
            <w:r>
              <w:rPr>
                <w:b/>
                <w:color w:val="C9211E"/>
              </w:rPr>
              <w:t>Aulus </w:t>
            </w:r>
            <w:proofErr w:type="spellStart"/>
            <w:r>
              <w:rPr>
                <w:b/>
                <w:color w:val="C9211E"/>
              </w:rPr>
              <w:t>Agerius</w:t>
            </w:r>
            <w:proofErr w:type="spellEnd"/>
            <w:r>
              <w:rPr>
                <w:color w:val="C9211E"/>
              </w:rPr>
              <w:br/>
            </w:r>
            <w:r>
              <w:rPr>
                <w:color w:val="C9211E"/>
              </w:rPr>
              <w:t>Beispiel</w:t>
            </w:r>
            <w:r>
              <w:rPr>
                <w:color w:val="C9211E"/>
              </w:rPr>
              <w:t xml:space="preserve">str. </w:t>
            </w:r>
            <w:r>
              <w:rPr>
                <w:color w:val="C9211E"/>
              </w:rPr>
              <w:t>12</w:t>
            </w:r>
            <w:r>
              <w:rPr>
                <w:color w:val="C9211E"/>
              </w:rPr>
              <w:tab/>
            </w:r>
            <w:r>
              <w:rPr>
                <w:color w:val="C9211E"/>
                <w:spacing w:val="-4"/>
              </w:rPr>
              <w:t xml:space="preserve">12345 </w:t>
            </w:r>
            <w:r>
              <w:rPr>
                <w:color w:val="C9211E"/>
                <w:spacing w:val="-4"/>
              </w:rPr>
              <w:t>Musterstadt</w:t>
            </w:r>
            <w:r>
              <w:rPr>
                <w:color w:val="C9211E"/>
              </w:rPr>
              <w:br/>
              <w:t>Telephon:</w:t>
            </w:r>
            <w:r>
              <w:rPr>
                <w:color w:val="C9211E"/>
              </w:rPr>
              <w:tab/>
              <w:t>+49 (777) 888 99 00</w:t>
            </w:r>
            <w:r>
              <w:rPr>
                <w:color w:val="C9211E"/>
              </w:rPr>
              <w:br/>
              <w:t>Telefax:</w:t>
            </w:r>
            <w:r>
              <w:rPr>
                <w:color w:val="C9211E"/>
              </w:rPr>
              <w:tab/>
              <w:t>+49 (777) 888 99 01</w:t>
            </w:r>
            <w:r>
              <w:rPr>
                <w:color w:val="C9211E"/>
              </w:rPr>
              <w:br/>
              <w:t>Funk:</w:t>
            </w:r>
            <w:r>
              <w:rPr>
                <w:color w:val="C9211E"/>
              </w:rPr>
              <w:tab/>
              <w:t>+49 (177) 888 99 00</w:t>
            </w:r>
            <w:r>
              <w:rPr>
                <w:color w:val="C9211E"/>
              </w:rPr>
              <w:br/>
              <w:t>E-Post:</w:t>
            </w:r>
            <w:r>
              <w:rPr>
                <w:color w:val="C9211E"/>
              </w:rPr>
              <w:tab/>
              <w:t>post@</w:t>
            </w:r>
            <w:r>
              <w:rPr>
                <w:color w:val="C9211E"/>
              </w:rPr>
              <w:t>agerius</w:t>
            </w:r>
            <w:r>
              <w:rPr>
                <w:color w:val="C9211E"/>
              </w:rPr>
              <w:t>.de</w:t>
            </w:r>
            <w:r>
              <w:br/>
            </w:r>
          </w:p>
        </w:tc>
      </w:tr>
      <w:tr w:rsidR="00744E53">
        <w:trPr>
          <w:cantSplit/>
          <w:trHeight w:val="1059"/>
        </w:trPr>
        <w:tc>
          <w:tcPr>
            <w:tcW w:w="4253" w:type="dxa"/>
          </w:tcPr>
          <w:p w:rsidR="00744E53" w:rsidRDefault="003F1533">
            <w:pPr>
              <w:pStyle w:val="Adresse"/>
            </w:pPr>
            <w:r>
              <w:rPr>
                <w:color w:val="C9211E"/>
              </w:rPr>
              <w:br/>
            </w:r>
            <w:r>
              <w:rPr>
                <w:color w:val="C9211E"/>
              </w:rPr>
              <w:br/>
              <w:t>Herrn Abgeordneten</w:t>
            </w:r>
            <w:r>
              <w:rPr>
                <w:color w:val="C9211E"/>
              </w:rPr>
              <w:br/>
            </w:r>
            <w:proofErr w:type="spellStart"/>
            <w:r>
              <w:rPr>
                <w:color w:val="C9211E"/>
              </w:rPr>
              <w:t>Numerius</w:t>
            </w:r>
            <w:proofErr w:type="spellEnd"/>
            <w:r>
              <w:rPr>
                <w:color w:val="C9211E"/>
              </w:rPr>
              <w:t xml:space="preserve"> </w:t>
            </w:r>
            <w:proofErr w:type="spellStart"/>
            <w:r>
              <w:rPr>
                <w:color w:val="C9211E"/>
              </w:rPr>
              <w:t>Negidius</w:t>
            </w:r>
            <w:proofErr w:type="spellEnd"/>
            <w:r>
              <w:br/>
            </w:r>
            <w:r>
              <w:t>Deutscher Bundestag</w:t>
            </w:r>
            <w:r>
              <w:br/>
              <w:t>Platz der Republik 1</w:t>
            </w:r>
            <w:r>
              <w:br/>
              <w:t>11011 Berlin</w:t>
            </w:r>
          </w:p>
        </w:tc>
        <w:tc>
          <w:tcPr>
            <w:tcW w:w="4889" w:type="dxa"/>
            <w:vMerge/>
          </w:tcPr>
          <w:p w:rsidR="00744E53" w:rsidRDefault="00744E53"/>
        </w:tc>
      </w:tr>
      <w:tr w:rsidR="00744E53">
        <w:trPr>
          <w:cantSplit/>
        </w:trPr>
        <w:tc>
          <w:tcPr>
            <w:tcW w:w="4253" w:type="dxa"/>
          </w:tcPr>
          <w:p w:rsidR="00744E53" w:rsidRDefault="00744E53">
            <w:pPr>
              <w:pStyle w:val="Absender-Adrefeld"/>
              <w:rPr>
                <w:spacing w:val="-4"/>
              </w:rPr>
            </w:pPr>
          </w:p>
        </w:tc>
        <w:tc>
          <w:tcPr>
            <w:tcW w:w="4889" w:type="dxa"/>
          </w:tcPr>
          <w:p w:rsidR="00744E53" w:rsidRDefault="003F1533">
            <w:pPr>
              <w:pStyle w:val="Datierung"/>
            </w:pPr>
            <w:r>
              <w:rPr>
                <w:spacing w:val="-6"/>
              </w:rPr>
              <w:t>Velten</w:t>
            </w:r>
            <w:r>
              <w:t xml:space="preserve">, am </w:t>
            </w:r>
            <w:r>
              <w:fldChar w:fldCharType="begin"/>
            </w:r>
            <w:r>
              <w:instrText>CREATEDATE \@"gregoriandd.\ MMMM\ yyyy"</w:instrText>
            </w:r>
            <w:r>
              <w:fldChar w:fldCharType="separate"/>
            </w:r>
            <w:r>
              <w:t>16. November 2020</w:t>
            </w:r>
            <w:r>
              <w:fldChar w:fldCharType="end"/>
            </w:r>
          </w:p>
        </w:tc>
      </w:tr>
    </w:tbl>
    <w:p w:rsidR="00744E53" w:rsidRDefault="003F1533">
      <w:pPr>
        <w:pStyle w:val="Betreff"/>
        <w:spacing w:before="680" w:after="567"/>
      </w:pPr>
      <w:r>
        <w:t>Betrifft:</w:t>
      </w:r>
      <w:r>
        <w:tab/>
        <w:t>Infektionsschutzgesetz</w:t>
      </w:r>
    </w:p>
    <w:p w:rsidR="00744E53" w:rsidRDefault="003F1533" w:rsidP="00F025E1">
      <w:pPr>
        <w:pStyle w:val="Anrede"/>
        <w:spacing w:after="170" w:line="260" w:lineRule="exact"/>
      </w:pPr>
      <w:r>
        <w:t xml:space="preserve">Sehr </w:t>
      </w:r>
      <w:r>
        <w:rPr>
          <w:color w:val="C9211E"/>
        </w:rPr>
        <w:t xml:space="preserve">geehrter Herr </w:t>
      </w:r>
      <w:proofErr w:type="spellStart"/>
      <w:r>
        <w:rPr>
          <w:color w:val="C9211E"/>
        </w:rPr>
        <w:t>Negidius</w:t>
      </w:r>
      <w:proofErr w:type="spellEnd"/>
      <w:r>
        <w:t>,</w:t>
      </w:r>
    </w:p>
    <w:p w:rsidR="00744E53" w:rsidRDefault="003F1533" w:rsidP="00F025E1">
      <w:pPr>
        <w:spacing w:line="260" w:lineRule="exact"/>
      </w:pPr>
      <w:r>
        <w:t xml:space="preserve">ich lebe, genau wie Sie, mit meiner Familie und meinen Freunden </w:t>
      </w:r>
      <w:r>
        <w:t>in diesem Land und berufe mich auf die freiheitlich demokratische Grundordnung. Ich schreibe in meinem Namen und in dem mei</w:t>
      </w:r>
      <w:r>
        <w:t>ner Familie. Als unsern Vertreter fordern wir Sie auf, alle Stimmen gewissenhaft zu hören und nach Motivation, Ehrlichkeit und Recht</w:t>
      </w:r>
      <w:r>
        <w:t xml:space="preserve">schaffenheit zu hinterfragen. Wir können es uns nicht erklären, daß der Entwurf für das 3. </w:t>
      </w:r>
      <w:proofErr w:type="spellStart"/>
      <w:r>
        <w:t>Infektions</w:t>
      </w:r>
      <w:r w:rsidR="00F025E1">
        <w:softHyphen/>
      </w:r>
      <w:r>
        <w:t>schutzgesetz</w:t>
      </w:r>
      <w:proofErr w:type="spellEnd"/>
      <w:r>
        <w:t xml:space="preserve"> (Entwurf vom 29. Oktober 2020 / Drucksache 645/20 und der darauffolgende Gesetzentwurf vom 03.11.2020 / Drucksache 19/23944) nun zur Le</w:t>
      </w:r>
      <w:r>
        <w:t>sung e</w:t>
      </w:r>
      <w:r>
        <w:t>ingereicht wird und dann über diesen Entwurf im Eilverfahren beraten und abgestimmt wer</w:t>
      </w:r>
      <w:r>
        <w:t>den soll.</w:t>
      </w:r>
    </w:p>
    <w:p w:rsidR="00744E53" w:rsidRDefault="003F1533" w:rsidP="00F025E1">
      <w:pPr>
        <w:spacing w:line="260" w:lineRule="exact"/>
      </w:pPr>
      <w:r>
        <w:t>Allein schon die 2. Novelle des IfSG, insbesondere § 5, ermächtigt das BMG vollumfänglich, Grund</w:t>
      </w:r>
      <w:r>
        <w:t xml:space="preserve">rechte einschränken und sich über das Grundgesetz stellen zu </w:t>
      </w:r>
      <w:r>
        <w:t>können. Diese Novelle wurde eben</w:t>
      </w:r>
      <w:r>
        <w:t>falls auf Grund der Dynamik der erklärten pandemischen Lage zu schnell und auch im Eilverfahren beschlossen. In den letzten Mo</w:t>
      </w:r>
      <w:r>
        <w:t>naten ist aber gerade unter dem IfSG eine Vielzahl an Maßnahmen zu schnell, nicht wirklich durchd</w:t>
      </w:r>
      <w:r>
        <w:t>acht und ohne umfassende gesellschaftliche Diskussion beschlossen worden, welche die Grundrechte massiv einge</w:t>
      </w:r>
      <w:r w:rsidR="00F025E1">
        <w:softHyphen/>
      </w:r>
      <w:r>
        <w:t xml:space="preserve">schränkt oder gar ganz außer Kraft gesetzt haben. So </w:t>
      </w:r>
      <w:r>
        <w:t>wurden faktisch Versammlungsfreiheit, Berufsfreiheit, freie Meinungsäußerung, Freiheit der Rel</w:t>
      </w:r>
      <w:r w:rsidR="00F025E1">
        <w:t>i</w:t>
      </w:r>
      <w:r>
        <w:t>gions</w:t>
      </w:r>
      <w:r>
        <w:t>ausübung und vieles mehr stark eingeschränkt oder ganz un</w:t>
      </w:r>
      <w:r>
        <w:t>terbunden, was die Exekutive mit Strafandrohungen und rigorosen, unverhältnismäßigen Maßnahmen um</w:t>
      </w:r>
      <w:r w:rsidR="00F025E1">
        <w:softHyphen/>
      </w:r>
      <w:r>
        <w:t>gesetzt hat.</w:t>
      </w:r>
    </w:p>
    <w:p w:rsidR="00744E53" w:rsidRDefault="003F1533" w:rsidP="00F025E1">
      <w:pPr>
        <w:spacing w:line="260" w:lineRule="exact"/>
      </w:pPr>
      <w:r>
        <w:t>Die Stimmen der warnenden Verfassungsrechtler beunruhigen uns zutiefst, und wir se</w:t>
      </w:r>
      <w:r>
        <w:t>hen nun die große Ge</w:t>
      </w:r>
      <w:r w:rsidR="00F025E1">
        <w:softHyphen/>
      </w:r>
      <w:r>
        <w:t>fahr, daß die Legislative nicht „im Namen des Volkes“ entscheidet und das Vorgehen hin</w:t>
      </w:r>
      <w:r>
        <w:t>sichtlich einer „epi</w:t>
      </w:r>
      <w:r>
        <w:t>de</w:t>
      </w:r>
      <w:r w:rsidR="00F025E1">
        <w:softHyphen/>
      </w:r>
      <w:r>
        <w:t>mi</w:t>
      </w:r>
      <w:r>
        <w:t>schen Lage von nationaler Tragweite“ auf</w:t>
      </w:r>
      <w:r w:rsidR="00F025E1">
        <w:t xml:space="preserve"> rechtsstaatlichen Boden zurück</w:t>
      </w:r>
      <w:r>
        <w:t xml:space="preserve">führt, sondern ganz im Gegenteil sogar Gefahr läuft, </w:t>
      </w:r>
      <w:r>
        <w:t>unverhältnismäßige, eher angstgetriebene und somit nicht ausreichend abgewogene Maß</w:t>
      </w:r>
      <w:r w:rsidR="00F025E1">
        <w:softHyphen/>
      </w:r>
      <w:r>
        <w:t>nahmen gesetzlich zu verankern und damit der Judikative Handlungsspielräume zu nehmen, anstatt ihr ihr Rol</w:t>
      </w:r>
      <w:r w:rsidR="00F025E1">
        <w:softHyphen/>
      </w:r>
      <w:r>
        <w:t>le als Regulativ zu lassen.</w:t>
      </w:r>
    </w:p>
    <w:p w:rsidR="00744E53" w:rsidRDefault="003F1533" w:rsidP="00F025E1">
      <w:pPr>
        <w:spacing w:line="260" w:lineRule="exact"/>
      </w:pPr>
      <w:r>
        <w:t>Diese Änderungen, welche im Eilverfahre</w:t>
      </w:r>
      <w:r>
        <w:t>n legitimiert werden sollen, sind bzgl. der Aussage „im Namen des Volkes“ aus unserer Sicht nochmals umfassend zu prü</w:t>
      </w:r>
      <w:r w:rsidR="00F025E1">
        <w:t>fen; dies begründen wir mit fol</w:t>
      </w:r>
      <w:r>
        <w:t>genden fünf Punkten, und das Schreiben nicht zu umfangreich werden zu lassen:</w:t>
      </w:r>
    </w:p>
    <w:p w:rsidR="00744E53" w:rsidRDefault="003F1533" w:rsidP="00F025E1">
      <w:pPr>
        <w:numPr>
          <w:ilvl w:val="0"/>
          <w:numId w:val="2"/>
        </w:numPr>
        <w:tabs>
          <w:tab w:val="clear" w:pos="720"/>
          <w:tab w:val="left" w:pos="347"/>
        </w:tabs>
        <w:spacing w:after="113" w:line="260" w:lineRule="exact"/>
        <w:ind w:left="363" w:hanging="363"/>
      </w:pPr>
      <w:r>
        <w:t>Die Änderung vom Wort „schwer</w:t>
      </w:r>
      <w:r>
        <w:t>wiegend” in „bedrohlich”. Eine kleine Änderung mit enormer Wirkung. – Warum? – Wie Sie wissen, sind bei der WHO 2009 die Vorgaben zum Ausrufen einer Pandemie ohne große öffentliche Aufmerksamkeit geändert worden. Das Ergebnis: Es wäre nun möglich, eine „</w:t>
      </w:r>
      <w:proofErr w:type="spellStart"/>
      <w:r>
        <w:t>Sc</w:t>
      </w:r>
      <w:r>
        <w:t>hnup</w:t>
      </w:r>
      <w:r w:rsidR="00F025E1">
        <w:softHyphen/>
      </w:r>
      <w:r>
        <w:lastRenderedPageBreak/>
        <w:t>fen</w:t>
      </w:r>
      <w:r>
        <w:t>pandemie</w:t>
      </w:r>
      <w:proofErr w:type="spellEnd"/>
      <w:r>
        <w:t>“ auszurufen. Das diese „Schnupfenpandemie“ „bedrohlich“ für die Bundesrepublik Deutsch</w:t>
      </w:r>
      <w:r w:rsidR="00F025E1">
        <w:softHyphen/>
      </w:r>
      <w:r>
        <w:t>land sein könnte, könnte leicht dargestellt werden, und damit wäre dann auch die Ausrufung einer „epide</w:t>
      </w:r>
      <w:r w:rsidR="00F025E1">
        <w:softHyphen/>
      </w:r>
      <w:r>
        <w:t>mischen Notlage nationaler Tragweite“ zu leicht und</w:t>
      </w:r>
      <w:r>
        <w:t xml:space="preserve"> schnell zu rechtfertigen.</w:t>
      </w:r>
    </w:p>
    <w:p w:rsidR="00744E53" w:rsidRDefault="003F1533" w:rsidP="00F025E1">
      <w:pPr>
        <w:numPr>
          <w:ilvl w:val="0"/>
          <w:numId w:val="2"/>
        </w:numPr>
        <w:tabs>
          <w:tab w:val="clear" w:pos="720"/>
          <w:tab w:val="left" w:pos="347"/>
        </w:tabs>
        <w:spacing w:line="260" w:lineRule="exact"/>
        <w:ind w:left="363" w:hanging="363"/>
      </w:pPr>
      <w:r>
        <w:t>Ermächtigung des BMG ohne Zustimmung des Bundesrates: An verschiedenen Stellen wird eine Möglich</w:t>
      </w:r>
      <w:r w:rsidR="00F025E1">
        <w:softHyphen/>
      </w:r>
      <w:r>
        <w:t>keit geschaffen, die parlamentarische Kontrolle und damit die Gewaltenteilung aufzuhe</w:t>
      </w:r>
      <w:r>
        <w:t>ben. Verfassungs</w:t>
      </w:r>
      <w:r w:rsidR="00F025E1">
        <w:softHyphen/>
      </w:r>
      <w:r>
        <w:t xml:space="preserve">rechtler mahnen und warnen uns </w:t>
      </w:r>
      <w:r>
        <w:t>lautstark. Unter keinen Umständen darf ein Minister in die Lage versetzt werden, eigenmächtig und i</w:t>
      </w:r>
      <w:r w:rsidR="00F025E1">
        <w:t>m Alleingang schwerwiegende Ein</w:t>
      </w:r>
      <w:r>
        <w:t>schränkungen der grundgesetzlich gesi</w:t>
      </w:r>
      <w:r>
        <w:t>cher</w:t>
      </w:r>
      <w:r w:rsidR="00F025E1">
        <w:softHyphen/>
      </w:r>
      <w:r>
        <w:t>ten Ordnung zu d</w:t>
      </w:r>
      <w:r w:rsidR="00F025E1">
        <w:t>ekretieren. Das Grundgesetz wur</w:t>
      </w:r>
      <w:r>
        <w:t>de beschlossen und verabschiedet, um</w:t>
      </w:r>
      <w:r>
        <w:t xml:space="preserve"> genau solch ein Vor</w:t>
      </w:r>
      <w:r>
        <w:t>gehen nie wieder zuzulassen.</w:t>
      </w:r>
    </w:p>
    <w:p w:rsidR="00744E53" w:rsidRDefault="003F1533" w:rsidP="00F025E1">
      <w:pPr>
        <w:numPr>
          <w:ilvl w:val="0"/>
          <w:numId w:val="2"/>
        </w:numPr>
        <w:tabs>
          <w:tab w:val="clear" w:pos="720"/>
          <w:tab w:val="left" w:pos="347"/>
        </w:tabs>
        <w:spacing w:line="260" w:lineRule="exact"/>
        <w:ind w:left="363" w:hanging="363"/>
      </w:pPr>
      <w:r>
        <w:t>Die Vorstellung, daß Zahnärzte und Veterinäre humandiagnostische Untersuchungen durchfüh</w:t>
      </w:r>
      <w:r>
        <w:t>ren können, entbehrt jeglichen Sinns und ist abzulehnen.</w:t>
      </w:r>
    </w:p>
    <w:p w:rsidR="00744E53" w:rsidRDefault="003F1533" w:rsidP="00F025E1">
      <w:pPr>
        <w:numPr>
          <w:ilvl w:val="0"/>
          <w:numId w:val="2"/>
        </w:numPr>
        <w:tabs>
          <w:tab w:val="clear" w:pos="720"/>
          <w:tab w:val="left" w:pos="347"/>
        </w:tabs>
        <w:spacing w:line="260" w:lineRule="exact"/>
        <w:ind w:left="363" w:hanging="363"/>
      </w:pPr>
      <w:r>
        <w:t>Einreisebedingungen und Immunitätsdokumentation und dadurch i</w:t>
      </w:r>
      <w:r>
        <w:t xml:space="preserve">ndirekte Impfverpflichtung: Auch hier wird massiv in die Grundrechte eingegriffen. Mit den vorgeschlagenen Änderungen wird der </w:t>
      </w:r>
      <w:proofErr w:type="spellStart"/>
      <w:r>
        <w:t>Immunitäts</w:t>
      </w:r>
      <w:r w:rsidR="00F025E1">
        <w:softHyphen/>
      </w:r>
      <w:r>
        <w:t>ausweis</w:t>
      </w:r>
      <w:proofErr w:type="spellEnd"/>
      <w:r>
        <w:t xml:space="preserve"> in elektronischer Form verpflichtend. Wurde in Gänze durchdacht, was das bzgl. möglichen Mißbrauchs solcher Ins</w:t>
      </w:r>
      <w:r>
        <w:t>trumente bedeuten könnte? Wie wäre ein Schutz vor unlauterem Umgang mit einem derartigen Instrument noch möglich? Sind Sie wirklich si</w:t>
      </w:r>
      <w:r>
        <w:t>cher, daß alle „Schlupflöcher“ einer anderen Verwendung als derjenigen zum Schutz des Men</w:t>
      </w:r>
      <w:r>
        <w:t>schen ausgeschlossen wurden? Wi</w:t>
      </w:r>
      <w:r>
        <w:t>e ist es über</w:t>
      </w:r>
      <w:r w:rsidR="00F025E1">
        <w:softHyphen/>
      </w:r>
      <w:r>
        <w:t>haupt mit dem Freiheitsgedanken des Grundge</w:t>
      </w:r>
      <w:r>
        <w:t>setzes vereinbar, den Bürgern unseres Landes damit jede Eigenverantwortung zu nehmen?</w:t>
      </w:r>
    </w:p>
    <w:p w:rsidR="00744E53" w:rsidRDefault="003F1533" w:rsidP="00F025E1">
      <w:pPr>
        <w:numPr>
          <w:ilvl w:val="0"/>
          <w:numId w:val="2"/>
        </w:numPr>
        <w:tabs>
          <w:tab w:val="clear" w:pos="720"/>
          <w:tab w:val="left" w:pos="347"/>
        </w:tabs>
        <w:spacing w:line="260" w:lineRule="exact"/>
        <w:ind w:left="363" w:hanging="363"/>
      </w:pPr>
      <w:r>
        <w:t>Der neue § 28a entbehrt jeglicher Verhältnismäßigkeit. Er basiert auf einer festen Vorgabe einer sogenann</w:t>
      </w:r>
      <w:r w:rsidR="00F025E1">
        <w:softHyphen/>
      </w:r>
      <w:r>
        <w:t>ten „Inz</w:t>
      </w:r>
      <w:r>
        <w:t>idenz“ von 50 oder 35 Neuinfektionen je 100.000 Einwohner. Zum Vergleich: Eine sogenannte „seltene Krankheit“ ist dadurch definiert, daß statistisch nicht mehr als 5 Fälle auf 10.000 Menschen auftreten, das heißt: nicht mehr als 50 Fälle auf 100.000 Einwoh</w:t>
      </w:r>
      <w:r>
        <w:t xml:space="preserve">ner. Wie kann es dann sein, daß massive Grundrechtseinschränkungen aufgrund einer </w:t>
      </w:r>
      <w:r>
        <w:rPr>
          <w:i/>
          <w:iCs/>
        </w:rPr>
        <w:t>per definitionem</w:t>
      </w:r>
      <w:r>
        <w:t xml:space="preserve"> „seltenen Krankheit” gesetzlich festge</w:t>
      </w:r>
      <w:r w:rsidR="00F025E1">
        <w:softHyphen/>
      </w:r>
      <w:r>
        <w:t>schrie</w:t>
      </w:r>
      <w:r>
        <w:t>ben werden sollen? Wie kann das grundgesetzkon</w:t>
      </w:r>
      <w:r>
        <w:t>form sein? – Hinzu kommt, daß bisherige Erkennt</w:t>
      </w:r>
      <w:r w:rsidR="00F025E1">
        <w:softHyphen/>
      </w:r>
      <w:r>
        <w:t>nisse über Infektio</w:t>
      </w:r>
      <w:r>
        <w:t>nswege und Mechanismen keine erkennbare Berücksichtigung gefunden haben. Wie können Sie aufgrund der vorliegenden Datenlage über derart tiefgreifende Grundrechtseinschränkungen entscheiden? Waren die gela</w:t>
      </w:r>
      <w:r>
        <w:t>denen „Experten“ unabhängig? Waren Vertreter unters</w:t>
      </w:r>
      <w:r>
        <w:t>chiedlicher wissen</w:t>
      </w:r>
      <w:r w:rsidR="00F025E1">
        <w:softHyphen/>
      </w:r>
      <w:r>
        <w:t>schaftlicher Positionen und Meinungen geladen? Haben Sie und Ihre Kollegen sich ein umfassendes Bild über den Stand der wissenschaftlichen Diskussion machen können?</w:t>
      </w:r>
    </w:p>
    <w:p w:rsidR="00744E53" w:rsidRDefault="003F1533" w:rsidP="00F025E1">
      <w:pPr>
        <w:spacing w:line="260" w:lineRule="exact"/>
      </w:pPr>
      <w:r>
        <w:t xml:space="preserve">Sehr </w:t>
      </w:r>
      <w:r>
        <w:rPr>
          <w:color w:val="C9211E"/>
        </w:rPr>
        <w:t xml:space="preserve">geehrter Herr </w:t>
      </w:r>
      <w:proofErr w:type="spellStart"/>
      <w:r>
        <w:rPr>
          <w:color w:val="C9211E"/>
        </w:rPr>
        <w:t>Negidius</w:t>
      </w:r>
      <w:proofErr w:type="spellEnd"/>
      <w:r>
        <w:t>, Sie vertreten mich und meine Familie im deut</w:t>
      </w:r>
      <w:r>
        <w:t>schen Bundestag. Wir sind denkende und sittlich gefestigte Menschen, die ihr Leben bisher eigenverantwortlich und mit steter Rücksicht auf unsere Mitmenschen gelebt haben und weiterhin leben wollen. Der Oberhavelkreis hat Sie gewählt, weil Sie – davon gehe</w:t>
      </w:r>
      <w:r>
        <w:t>n wir aus – sich nach freiem Willen und Gewissen entschieden haben, „Ihre Kraft dem Wohle des deutschen Volkes zu widmen, seinen Nutzen zu mehren, Schaden von ihm zu wenden, das Grundgesetz zu wahren und zu verteidigen, Ihre Pflichten gewissenhaft zu erfül</w:t>
      </w:r>
      <w:r>
        <w:t>len und Gerechtigkeit gegen jedermann zu üben“. Sind Sie dazu bereit, „so wahr Ihnen Gott helfe“?</w:t>
      </w:r>
    </w:p>
    <w:p w:rsidR="00744E53" w:rsidRDefault="003F1533" w:rsidP="00F025E1">
      <w:pPr>
        <w:spacing w:line="260" w:lineRule="exact"/>
      </w:pPr>
      <w:r>
        <w:t>Sind Sie sicher, daß das, was Sie nun im Eilverfahren entscheiden sollen, dieser elementar wichtigen Formel ent</w:t>
      </w:r>
      <w:r>
        <w:t>spricht? Haben Sie alles so geprüft, daß Sie pe</w:t>
      </w:r>
      <w:r>
        <w:t>rsönlich sicher sind, alles Notwendige un</w:t>
      </w:r>
      <w:r>
        <w:t>ternommen zu haben, um sich ein eigenes, unabhängiges und gerechtes Urteil bilden und dement</w:t>
      </w:r>
      <w:r>
        <w:t>sprechend Ihre Stimme ab</w:t>
      </w:r>
      <w:r w:rsidR="00F025E1">
        <w:softHyphen/>
      </w:r>
      <w:r>
        <w:t xml:space="preserve">geben zu können? – Wenn Ihnen irgend Zweifel bleiben, folgen Sie Ihrem Gewissen und stimmen Sie, </w:t>
      </w:r>
      <w:r>
        <w:t xml:space="preserve">bitte, </w:t>
      </w:r>
      <w:bookmarkStart w:id="0" w:name="_GoBack"/>
      <w:bookmarkEnd w:id="0"/>
      <w:r>
        <w:t>dagegen. Jeder Zweifel kann nur dazu führen, die Zustimmung zu diesem Gesetzesentwurf zu verweigern. – Herzlichen Dank!</w:t>
      </w:r>
    </w:p>
    <w:p w:rsidR="00744E53" w:rsidRDefault="003F1533" w:rsidP="00F025E1">
      <w:pPr>
        <w:pStyle w:val="Anrede"/>
        <w:spacing w:before="170" w:after="794" w:line="260" w:lineRule="exact"/>
      </w:pPr>
      <w:r>
        <w:t>Mit freundlichem Gruß</w:t>
      </w:r>
    </w:p>
    <w:p w:rsidR="00744E53" w:rsidRDefault="003F1533">
      <w:pPr>
        <w:pStyle w:val="Subscriptio"/>
        <w:rPr>
          <w:color w:val="C9211E"/>
        </w:rPr>
      </w:pPr>
      <w:r>
        <w:rPr>
          <w:color w:val="C9211E"/>
        </w:rPr>
        <w:t xml:space="preserve">Aulus </w:t>
      </w:r>
      <w:proofErr w:type="spellStart"/>
      <w:r>
        <w:rPr>
          <w:color w:val="C9211E"/>
        </w:rPr>
        <w:t>Agerius</w:t>
      </w:r>
      <w:proofErr w:type="spellEnd"/>
    </w:p>
    <w:sectPr w:rsidR="00744E53">
      <w:headerReference w:type="default" r:id="rId8"/>
      <w:footerReference w:type="default" r:id="rId9"/>
      <w:headerReference w:type="first" r:id="rId10"/>
      <w:footerReference w:type="first" r:id="rId11"/>
      <w:pgSz w:w="11907" w:h="16840"/>
      <w:pgMar w:top="1418" w:right="1418" w:bottom="1418" w:left="1559" w:header="851" w:footer="567" w:gutter="0"/>
      <w:cols w:space="720"/>
      <w:formProt w:val="0"/>
      <w:titlePg/>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533" w:rsidRDefault="003F1533">
      <w:pPr>
        <w:spacing w:after="0"/>
      </w:pPr>
      <w:r>
        <w:separator/>
      </w:r>
    </w:p>
  </w:endnote>
  <w:endnote w:type="continuationSeparator" w:id="0">
    <w:p w:rsidR="003F1533" w:rsidRDefault="003F153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Palatino Linotype:onum&amp;liga&amp;ker">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ITC Zapf Dingbats SWA">
    <w:charset w:val="02"/>
    <w:family w:val="roman"/>
    <w:pitch w:val="variable"/>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53" w:rsidRDefault="00744E53">
    <w:pPr>
      <w:pStyle w:val="Kopfzeile"/>
      <w:pBdr>
        <w:bottom w:val="nil"/>
      </w:pBdr>
      <w:spacing w:before="240" w:after="0"/>
      <w:ind w:left="284" w:right="284"/>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53" w:rsidRDefault="00744E53">
    <w:pPr>
      <w:pStyle w:val="Kopfzeile"/>
      <w:pBdr>
        <w:bottom w:val="nil"/>
      </w:pBdr>
      <w:spacing w:before="240" w:after="0"/>
      <w:ind w:left="284" w:right="284"/>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533" w:rsidRDefault="003F1533">
      <w:pPr>
        <w:spacing w:after="0"/>
      </w:pPr>
      <w:r>
        <w:separator/>
      </w:r>
    </w:p>
  </w:footnote>
  <w:footnote w:type="continuationSeparator" w:id="0">
    <w:p w:rsidR="003F1533" w:rsidRDefault="003F153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E53" w:rsidRDefault="00744E53">
    <w:pPr>
      <w:pStyle w:val="Kopfzeile"/>
      <w:spacing w:after="227"/>
      <w:ind w:left="-57" w:right="-57"/>
      <w:rPr>
        <w:spacing w:val="-2"/>
        <w:kern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142" w:type="dxa"/>
      <w:tblLayout w:type="fixed"/>
      <w:tblCellMar>
        <w:left w:w="70" w:type="dxa"/>
        <w:right w:w="70" w:type="dxa"/>
      </w:tblCellMar>
      <w:tblLook w:val="0000" w:firstRow="0" w:lastRow="0" w:firstColumn="0" w:lastColumn="0" w:noHBand="0" w:noVBand="0"/>
    </w:tblPr>
    <w:tblGrid>
      <w:gridCol w:w="9142"/>
    </w:tblGrid>
    <w:tr w:rsidR="00744E53">
      <w:trPr>
        <w:trHeight w:val="143"/>
      </w:trPr>
      <w:tc>
        <w:tcPr>
          <w:tcW w:w="9142" w:type="dxa"/>
          <w:tcBorders>
            <w:bottom w:val="single" w:sz="12" w:space="0" w:color="000000"/>
          </w:tcBorders>
        </w:tcPr>
        <w:p w:rsidR="00744E53" w:rsidRDefault="003F1533">
          <w:pPr>
            <w:spacing w:after="0"/>
            <w:jc w:val="right"/>
            <w:rPr>
              <w:rFonts w:ascii="Arial" w:hAnsi="Arial" w:cs="Arial"/>
              <w:b/>
              <w:bCs/>
            </w:rPr>
          </w:pPr>
          <w:r>
            <w:rPr>
              <w:noProof/>
            </w:rPr>
            <mc:AlternateContent>
              <mc:Choice Requires="wps">
                <w:drawing>
                  <wp:anchor distT="0" distB="0" distL="0" distR="0" simplePos="0" relativeHeight="2" behindDoc="0" locked="0" layoutInCell="0" allowOverlap="1">
                    <wp:simplePos x="0" y="0"/>
                    <wp:positionH relativeFrom="column">
                      <wp:posOffset>-961390</wp:posOffset>
                    </wp:positionH>
                    <wp:positionV relativeFrom="page">
                      <wp:posOffset>3302000</wp:posOffset>
                    </wp:positionV>
                    <wp:extent cx="359410" cy="1270"/>
                    <wp:effectExtent l="0" t="0" r="0" b="0"/>
                    <wp:wrapNone/>
                    <wp:docPr id="1" name="Freeform 15"/>
                    <wp:cNvGraphicFramePr/>
                    <a:graphic xmlns:a="http://schemas.openxmlformats.org/drawingml/2006/main">
                      <a:graphicData uri="http://schemas.microsoft.com/office/word/2010/wordprocessingShape">
                        <wps:wsp>
                          <wps:cNvSpPr/>
                          <wps:spPr>
                            <a:xfrm>
                              <a:off x="0" y="0"/>
                              <a:ext cx="358920" cy="720"/>
                            </a:xfrm>
                            <a:custGeom>
                              <a:avLst/>
                              <a:gdLst/>
                              <a:ahLst/>
                              <a:cxnLst/>
                              <a:rect l="l" t="t" r="r" b="b"/>
                              <a:pathLst>
                                <a:path w="565" h="1">
                                  <a:moveTo>
                                    <a:pt x="0" y="0"/>
                                  </a:moveTo>
                                  <a:lnTo>
                                    <a:pt x="565" y="1"/>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id="shape_0" ID="Freeform 15" stroked="t" style="position:absolute;margin-left:-75.7pt;margin-top:260pt;width:28.2pt;height:0pt;mso-wrap-style:none;v-text-anchor:middle;mso-position-vertical-relative:page">
                    <v:fill o:detectmouseclick="t" on="false"/>
                    <v:stroke color="black" weight="9360" joinstyle="round" endcap="flat"/>
                    <w10:wrap type="none"/>
                  </v:shape>
                </w:pict>
              </mc:Fallback>
            </mc:AlternateContent>
          </w:r>
          <w:r>
            <w:rPr>
              <w:noProof/>
            </w:rPr>
            <mc:AlternateContent>
              <mc:Choice Requires="wps">
                <w:drawing>
                  <wp:anchor distT="0" distB="0" distL="0" distR="0" simplePos="0" relativeHeight="3" behindDoc="0" locked="0" layoutInCell="0" allowOverlap="1">
                    <wp:simplePos x="0" y="0"/>
                    <wp:positionH relativeFrom="column">
                      <wp:posOffset>-976630</wp:posOffset>
                    </wp:positionH>
                    <wp:positionV relativeFrom="page">
                      <wp:posOffset>7021195</wp:posOffset>
                    </wp:positionV>
                    <wp:extent cx="351790" cy="5715"/>
                    <wp:effectExtent l="0" t="0" r="0" b="0"/>
                    <wp:wrapNone/>
                    <wp:docPr id="2" name="Freeform 16"/>
                    <wp:cNvGraphicFramePr/>
                    <a:graphic xmlns:a="http://schemas.openxmlformats.org/drawingml/2006/main">
                      <a:graphicData uri="http://schemas.microsoft.com/office/word/2010/wordprocessingShape">
                        <wps:wsp>
                          <wps:cNvSpPr/>
                          <wps:spPr>
                            <a:xfrm>
                              <a:off x="0" y="0"/>
                              <a:ext cx="351000" cy="5040"/>
                            </a:xfrm>
                            <a:custGeom>
                              <a:avLst/>
                              <a:gdLst/>
                              <a:ahLst/>
                              <a:cxnLst/>
                              <a:rect l="l" t="t" r="r" b="b"/>
                              <a:pathLst>
                                <a:path w="616" h="8">
                                  <a:moveTo>
                                    <a:pt x="0" y="0"/>
                                  </a:moveTo>
                                  <a:lnTo>
                                    <a:pt x="616" y="8"/>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id="shape_0" ID="Freeform 16" stroked="t" style="position:absolute;margin-left:-76.9pt;margin-top:552.85pt;width:27.6pt;height:0.35pt;mso-wrap-style:none;v-text-anchor:middle;mso-position-vertical-relative:page">
                    <v:fill o:detectmouseclick="t" on="false"/>
                    <v:stroke color="black" weight="9360" joinstyle="round" endcap="flat"/>
                    <w10:wrap type="none"/>
                  </v:shape>
                </w:pict>
              </mc:Fallback>
            </mc:AlternateContent>
          </w:r>
        </w:p>
      </w:tc>
    </w:tr>
  </w:tbl>
  <w:p w:rsidR="00744E53" w:rsidRDefault="00744E53">
    <w:pPr>
      <w:spacing w:after="13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6B7E90"/>
    <w:multiLevelType w:val="multilevel"/>
    <w:tmpl w:val="48A40F5C"/>
    <w:lvl w:ilvl="0">
      <w:start w:val="1"/>
      <w:numFmt w:val="upperLetter"/>
      <w:pStyle w:val="berschrift1"/>
      <w:lvlText w:val="%1."/>
      <w:lvlJc w:val="left"/>
      <w:pPr>
        <w:tabs>
          <w:tab w:val="num" w:pos="432"/>
        </w:tabs>
        <w:ind w:left="432" w:hanging="432"/>
      </w:pPr>
      <w:rPr>
        <w:rFonts w:ascii="Palatino Linotype" w:hAnsi="Palatino Linotype"/>
      </w:rPr>
    </w:lvl>
    <w:lvl w:ilvl="1">
      <w:start w:val="1"/>
      <w:numFmt w:val="decimal"/>
      <w:pStyle w:val="berschrift2"/>
      <w:lvlText w:val="%2."/>
      <w:lvlJc w:val="left"/>
      <w:pPr>
        <w:tabs>
          <w:tab w:val="num" w:pos="576"/>
        </w:tabs>
        <w:ind w:left="576" w:hanging="576"/>
      </w:pPr>
      <w:rPr>
        <w:rFonts w:ascii="Palatino Linotype" w:hAnsi="Palatino Linotype"/>
      </w:rPr>
    </w:lvl>
    <w:lvl w:ilvl="2">
      <w:start w:val="1"/>
      <w:numFmt w:val="lowerLetter"/>
      <w:pStyle w:val="berschrift3"/>
      <w:lvlText w:val="%3)"/>
      <w:lvlJc w:val="left"/>
      <w:pPr>
        <w:tabs>
          <w:tab w:val="num" w:pos="720"/>
        </w:tabs>
        <w:ind w:left="720" w:hanging="720"/>
      </w:pPr>
      <w:rPr>
        <w:rFonts w:ascii="Palatino Linotype" w:hAnsi="Palatino Linotype"/>
      </w:r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1584"/>
        </w:tabs>
        <w:ind w:left="1584" w:hanging="1584"/>
      </w:pPr>
    </w:lvl>
  </w:abstractNum>
  <w:abstractNum w:abstractNumId="1">
    <w:nsid w:val="56400D29"/>
    <w:multiLevelType w:val="multilevel"/>
    <w:tmpl w:val="316C6E3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744E53"/>
    <w:rsid w:val="003F1533"/>
    <w:rsid w:val="00744E53"/>
    <w:rsid w:val="00F025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uppressAutoHyphens/>
      <w:spacing w:after="57"/>
      <w:jc w:val="both"/>
    </w:pPr>
    <w:rPr>
      <w:rFonts w:ascii="Palatino Linotype:onum&amp;liga&amp;ker" w:hAnsi="Palatino Linotype:onum&amp;liga&amp;ker"/>
    </w:rPr>
  </w:style>
  <w:style w:type="paragraph" w:styleId="berschrift1">
    <w:name w:val="heading 1"/>
    <w:basedOn w:val="Standard"/>
    <w:next w:val="Standard"/>
    <w:qFormat/>
    <w:pPr>
      <w:keepNext/>
      <w:keepLines/>
      <w:numPr>
        <w:numId w:val="1"/>
      </w:numPr>
      <w:spacing w:before="240" w:after="240"/>
      <w:outlineLvl w:val="0"/>
    </w:pPr>
    <w:rPr>
      <w:b/>
      <w:sz w:val="28"/>
    </w:rPr>
  </w:style>
  <w:style w:type="paragraph" w:styleId="berschrift2">
    <w:name w:val="heading 2"/>
    <w:basedOn w:val="berschrift1"/>
    <w:next w:val="Standard"/>
    <w:qFormat/>
    <w:pPr>
      <w:numPr>
        <w:ilvl w:val="1"/>
      </w:numPr>
      <w:outlineLvl w:val="1"/>
    </w:pPr>
    <w:rPr>
      <w:sz w:val="26"/>
    </w:rPr>
  </w:style>
  <w:style w:type="paragraph" w:styleId="berschrift3">
    <w:name w:val="heading 3"/>
    <w:basedOn w:val="berschrift2"/>
    <w:next w:val="Standard"/>
    <w:qFormat/>
    <w:pPr>
      <w:numPr>
        <w:ilvl w:val="2"/>
      </w:numPr>
      <w:outlineLvl w:val="2"/>
    </w:pPr>
    <w:rPr>
      <w:sz w:val="22"/>
    </w:rPr>
  </w:style>
  <w:style w:type="paragraph" w:styleId="berschrift4">
    <w:name w:val="heading 4"/>
    <w:basedOn w:val="berschrift3"/>
    <w:next w:val="Standard"/>
    <w:qFormat/>
    <w:pPr>
      <w:numPr>
        <w:ilvl w:val="3"/>
      </w:numPr>
      <w:outlineLvl w:val="3"/>
    </w:pPr>
  </w:style>
  <w:style w:type="paragraph" w:styleId="berschrift5">
    <w:name w:val="heading 5"/>
    <w:basedOn w:val="berschrift4"/>
    <w:next w:val="Standard"/>
    <w:qFormat/>
    <w:pPr>
      <w:numPr>
        <w:ilvl w:val="4"/>
      </w:numPr>
      <w:outlineLvl w:val="4"/>
    </w:pPr>
  </w:style>
  <w:style w:type="paragraph" w:styleId="berschrift6">
    <w:name w:val="heading 6"/>
    <w:basedOn w:val="berschrift5"/>
    <w:next w:val="Standard"/>
    <w:qFormat/>
    <w:pPr>
      <w:numPr>
        <w:ilvl w:val="5"/>
      </w:numPr>
      <w:outlineLvl w:val="5"/>
    </w:pPr>
    <w:rPr>
      <w:sz w:val="20"/>
    </w:rPr>
  </w:style>
  <w:style w:type="paragraph" w:styleId="berschrift7">
    <w:name w:val="heading 7"/>
    <w:basedOn w:val="berschrift6"/>
    <w:next w:val="Standard"/>
    <w:qFormat/>
    <w:pPr>
      <w:numPr>
        <w:ilvl w:val="6"/>
      </w:numPr>
      <w:outlineLvl w:val="6"/>
    </w:pPr>
  </w:style>
  <w:style w:type="paragraph" w:styleId="berschrift8">
    <w:name w:val="heading 8"/>
    <w:basedOn w:val="berschrift7"/>
    <w:next w:val="Standard"/>
    <w:qFormat/>
    <w:pPr>
      <w:numPr>
        <w:ilvl w:val="7"/>
      </w:numPr>
      <w:outlineLvl w:val="7"/>
    </w:pPr>
    <w:rPr>
      <w:b w:val="0"/>
      <w:i/>
    </w:rPr>
  </w:style>
  <w:style w:type="paragraph" w:styleId="berschrift9">
    <w:name w:val="heading 9"/>
    <w:basedOn w:val="Standard"/>
    <w:next w:val="Standard"/>
    <w:qFormat/>
    <w:pPr>
      <w:numPr>
        <w:ilvl w:val="8"/>
        <w:numId w:val="1"/>
      </w:numPr>
      <w:spacing w:after="240"/>
      <w:outlineLvl w:val="8"/>
    </w:pPr>
    <w:rPr>
      <w:rFonts w:ascii="Times New Roman" w:hAnsi="Times New Roman"/>
      <w: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rPr>
      <w:rFonts w:ascii="Palatino Linotype" w:hAnsi="Palatino Linotype"/>
      <w:i/>
      <w:strike w:val="0"/>
      <w:dstrike w:val="0"/>
      <w:color w:val="auto"/>
      <w:position w:val="0"/>
      <w:sz w:val="18"/>
      <w:vertAlign w:val="baseline"/>
    </w:rPr>
  </w:style>
  <w:style w:type="character" w:styleId="Hyperlink">
    <w:name w:val="Hyperlink"/>
    <w:basedOn w:val="Absatz-Standardschriftart"/>
    <w:qFormat/>
    <w:rPr>
      <w:rFonts w:ascii="Palatino Linotype" w:hAnsi="Palatino Linotype"/>
      <w:color w:val="auto"/>
      <w:u w:val="none"/>
    </w:rPr>
  </w:style>
  <w:style w:type="character" w:styleId="BesuchterHyperlink">
    <w:name w:val="FollowedHyperlink"/>
    <w:basedOn w:val="Absatz-Standardschriftart"/>
    <w:qFormat/>
    <w:rPr>
      <w:rFonts w:ascii="Palatino Linotype" w:hAnsi="Palatino Linotype"/>
      <w:color w:val="auto"/>
      <w:u w:val="none"/>
    </w:rPr>
  </w:style>
  <w:style w:type="character" w:styleId="Funotenzeichen">
    <w:name w:val="footnote reference"/>
    <w:qFormat/>
  </w:style>
  <w:style w:type="character" w:customStyle="1" w:styleId="WWCharOUTLINELVL1">
    <w:name w:val="WW_CharOUTLINELVL1"/>
    <w:qFormat/>
    <w:rPr>
      <w:rFonts w:ascii="Palatino Linotype" w:hAnsi="Palatino Linotype"/>
    </w:rPr>
  </w:style>
  <w:style w:type="character" w:customStyle="1" w:styleId="WWCharOUTLINELVL2">
    <w:name w:val="WW_CharOUTLINELVL2"/>
    <w:qFormat/>
    <w:rPr>
      <w:rFonts w:ascii="Palatino Linotype" w:hAnsi="Palatino Linotype"/>
    </w:rPr>
  </w:style>
  <w:style w:type="character" w:customStyle="1" w:styleId="WWCharOUTLINELVL3">
    <w:name w:val="WW_CharOUTLINELVL3"/>
    <w:qFormat/>
    <w:rPr>
      <w:rFonts w:ascii="Palatino Linotype" w:hAnsi="Palatino Linotype"/>
    </w:rPr>
  </w:style>
  <w:style w:type="character" w:customStyle="1" w:styleId="WWCharLFO1LVL1">
    <w:name w:val="WW_CharLFO1LVL1"/>
    <w:qFormat/>
    <w:rPr>
      <w:rFonts w:ascii="Symbol" w:hAnsi="Symbol"/>
      <w:sz w:val="20"/>
    </w:rPr>
  </w:style>
  <w:style w:type="character" w:customStyle="1" w:styleId="WWCharLFO2LVL1">
    <w:name w:val="WW_CharLFO2LVL1"/>
    <w:qFormat/>
    <w:rPr>
      <w:rFonts w:ascii="Wingdings" w:hAnsi="Wingdings"/>
    </w:rPr>
  </w:style>
  <w:style w:type="character" w:customStyle="1" w:styleId="WWCharLFO3LVL1">
    <w:name w:val="WW_CharLFO3LVL1"/>
    <w:qFormat/>
    <w:rPr>
      <w:rFonts w:ascii="Wingdings" w:hAnsi="Wingdings"/>
    </w:rPr>
  </w:style>
  <w:style w:type="character" w:customStyle="1" w:styleId="WWCharLFO4LVL1">
    <w:name w:val="WW_CharLFO4LVL1"/>
    <w:qFormat/>
    <w:rPr>
      <w:rFonts w:ascii="Wingdings" w:hAnsi="Wingdings"/>
    </w:rPr>
  </w:style>
  <w:style w:type="character" w:customStyle="1" w:styleId="WWCharLFO5LVL1">
    <w:name w:val="WW_CharLFO5LVL1"/>
    <w:qFormat/>
    <w:rPr>
      <w:rFonts w:ascii="ITC Zapf Dingbats SWA" w:hAnsi="ITC Zapf Dingbats SWA"/>
      <w:sz w:val="20"/>
    </w:rPr>
  </w:style>
  <w:style w:type="character" w:customStyle="1" w:styleId="WWCharLFO6LVL1">
    <w:name w:val="WW_CharLFO6LVL1"/>
    <w:qFormat/>
    <w:rPr>
      <w:rFonts w:ascii="ITC Zapf Dingbats SWA" w:hAnsi="ITC Zapf Dingbats SWA"/>
      <w:sz w:val="20"/>
    </w:rPr>
  </w:style>
  <w:style w:type="character" w:customStyle="1" w:styleId="WWCharLFO7LVL1">
    <w:name w:val="WW_CharLFO7LVL1"/>
    <w:qFormat/>
    <w:rPr>
      <w:rFonts w:ascii="Garamond" w:hAnsi="Garamond"/>
    </w:rPr>
  </w:style>
  <w:style w:type="character" w:customStyle="1" w:styleId="WWCharLFO7LVL2">
    <w:name w:val="WW_CharLFO7LVL2"/>
    <w:qFormat/>
    <w:rPr>
      <w:rFonts w:ascii="Courier New" w:hAnsi="Courier New"/>
    </w:rPr>
  </w:style>
  <w:style w:type="character" w:customStyle="1" w:styleId="WWCharLFO7LVL3">
    <w:name w:val="WW_CharLFO7LVL3"/>
    <w:qFormat/>
    <w:rPr>
      <w:rFonts w:ascii="Wingdings" w:hAnsi="Wingdings"/>
    </w:rPr>
  </w:style>
  <w:style w:type="character" w:customStyle="1" w:styleId="WWCharLFO7LVL4">
    <w:name w:val="WW_CharLFO7LVL4"/>
    <w:qFormat/>
    <w:rPr>
      <w:rFonts w:ascii="Symbol" w:hAnsi="Symbol"/>
    </w:rPr>
  </w:style>
  <w:style w:type="character" w:customStyle="1" w:styleId="WWCharLFO7LVL5">
    <w:name w:val="WW_CharLFO7LVL5"/>
    <w:qFormat/>
    <w:rPr>
      <w:rFonts w:ascii="Courier New" w:hAnsi="Courier New"/>
    </w:rPr>
  </w:style>
  <w:style w:type="character" w:customStyle="1" w:styleId="WWCharLFO7LVL6">
    <w:name w:val="WW_CharLFO7LVL6"/>
    <w:qFormat/>
    <w:rPr>
      <w:rFonts w:ascii="Wingdings" w:hAnsi="Wingdings"/>
    </w:rPr>
  </w:style>
  <w:style w:type="character" w:customStyle="1" w:styleId="WWCharLFO7LVL7">
    <w:name w:val="WW_CharLFO7LVL7"/>
    <w:qFormat/>
    <w:rPr>
      <w:rFonts w:ascii="Symbol" w:hAnsi="Symbol"/>
    </w:rPr>
  </w:style>
  <w:style w:type="character" w:customStyle="1" w:styleId="WWCharLFO7LVL8">
    <w:name w:val="WW_CharLFO7LVL8"/>
    <w:qFormat/>
    <w:rPr>
      <w:rFonts w:ascii="Courier New" w:hAnsi="Courier New"/>
    </w:rPr>
  </w:style>
  <w:style w:type="character" w:customStyle="1" w:styleId="WWCharLFO7LVL9">
    <w:name w:val="WW_CharLFO7LVL9"/>
    <w:qFormat/>
    <w:rPr>
      <w:rFonts w:ascii="Wingdings" w:hAnsi="Wingdings"/>
    </w:rPr>
  </w:style>
  <w:style w:type="character" w:customStyle="1" w:styleId="WWCharLFO8LVL1">
    <w:name w:val="WW_CharLFO8LVL1"/>
    <w:qFormat/>
    <w:rPr>
      <w:rFonts w:ascii="Garamond" w:hAnsi="Garamond"/>
    </w:rPr>
  </w:style>
  <w:style w:type="character" w:customStyle="1" w:styleId="WWCharLFO8LVL2">
    <w:name w:val="WW_CharLFO8LVL2"/>
    <w:qFormat/>
    <w:rPr>
      <w:rFonts w:ascii="Courier New" w:hAnsi="Courier New"/>
    </w:rPr>
  </w:style>
  <w:style w:type="character" w:customStyle="1" w:styleId="WWCharLFO8LVL3">
    <w:name w:val="WW_CharLFO8LVL3"/>
    <w:qFormat/>
    <w:rPr>
      <w:rFonts w:ascii="Wingdings" w:hAnsi="Wingdings"/>
    </w:rPr>
  </w:style>
  <w:style w:type="character" w:customStyle="1" w:styleId="WWCharLFO8LVL4">
    <w:name w:val="WW_CharLFO8LVL4"/>
    <w:qFormat/>
    <w:rPr>
      <w:rFonts w:ascii="Symbol" w:hAnsi="Symbol"/>
    </w:rPr>
  </w:style>
  <w:style w:type="character" w:customStyle="1" w:styleId="WWCharLFO8LVL5">
    <w:name w:val="WW_CharLFO8LVL5"/>
    <w:qFormat/>
    <w:rPr>
      <w:rFonts w:ascii="Courier New" w:hAnsi="Courier New"/>
    </w:rPr>
  </w:style>
  <w:style w:type="character" w:customStyle="1" w:styleId="WWCharLFO8LVL6">
    <w:name w:val="WW_CharLFO8LVL6"/>
    <w:qFormat/>
    <w:rPr>
      <w:rFonts w:ascii="Wingdings" w:hAnsi="Wingdings"/>
    </w:rPr>
  </w:style>
  <w:style w:type="character" w:customStyle="1" w:styleId="WWCharLFO8LVL7">
    <w:name w:val="WW_CharLFO8LVL7"/>
    <w:qFormat/>
    <w:rPr>
      <w:rFonts w:ascii="Symbol" w:hAnsi="Symbol"/>
    </w:rPr>
  </w:style>
  <w:style w:type="character" w:customStyle="1" w:styleId="WWCharLFO8LVL8">
    <w:name w:val="WW_CharLFO8LVL8"/>
    <w:qFormat/>
    <w:rPr>
      <w:rFonts w:ascii="Courier New" w:hAnsi="Courier New"/>
    </w:rPr>
  </w:style>
  <w:style w:type="character" w:customStyle="1" w:styleId="WWCharLFO8LVL9">
    <w:name w:val="WW_CharLFO8LVL9"/>
    <w:qFormat/>
    <w:rPr>
      <w:rFonts w:ascii="Wingdings" w:hAnsi="Wingdings"/>
    </w:rPr>
  </w:style>
  <w:style w:type="character" w:customStyle="1" w:styleId="WWCharLFO9LVL1">
    <w:name w:val="WW_CharLFO9LVL1"/>
    <w:qFormat/>
    <w:rPr>
      <w:rFonts w:ascii="Palatino Linotype" w:hAnsi="Palatino Linotype"/>
    </w:rPr>
  </w:style>
  <w:style w:type="character" w:customStyle="1" w:styleId="WWCharLFO9LVL2">
    <w:name w:val="WW_CharLFO9LVL2"/>
    <w:qFormat/>
    <w:rPr>
      <w:rFonts w:ascii="Courier New" w:hAnsi="Courier New"/>
    </w:rPr>
  </w:style>
  <w:style w:type="character" w:customStyle="1" w:styleId="WWCharLFO9LVL3">
    <w:name w:val="WW_CharLFO9LVL3"/>
    <w:qFormat/>
    <w:rPr>
      <w:rFonts w:ascii="Wingdings" w:hAnsi="Wingdings"/>
    </w:rPr>
  </w:style>
  <w:style w:type="character" w:customStyle="1" w:styleId="WWCharLFO9LVL4">
    <w:name w:val="WW_CharLFO9LVL4"/>
    <w:qFormat/>
    <w:rPr>
      <w:rFonts w:ascii="Symbol" w:hAnsi="Symbol"/>
    </w:rPr>
  </w:style>
  <w:style w:type="character" w:customStyle="1" w:styleId="WWCharLFO9LVL5">
    <w:name w:val="WW_CharLFO9LVL5"/>
    <w:qFormat/>
    <w:rPr>
      <w:rFonts w:ascii="Courier New" w:hAnsi="Courier New"/>
    </w:rPr>
  </w:style>
  <w:style w:type="character" w:customStyle="1" w:styleId="WWCharLFO9LVL6">
    <w:name w:val="WW_CharLFO9LVL6"/>
    <w:qFormat/>
    <w:rPr>
      <w:rFonts w:ascii="Wingdings" w:hAnsi="Wingdings"/>
    </w:rPr>
  </w:style>
  <w:style w:type="character" w:customStyle="1" w:styleId="WWCharLFO9LVL7">
    <w:name w:val="WW_CharLFO9LVL7"/>
    <w:qFormat/>
    <w:rPr>
      <w:rFonts w:ascii="Symbol" w:hAnsi="Symbol"/>
    </w:rPr>
  </w:style>
  <w:style w:type="character" w:customStyle="1" w:styleId="WWCharLFO9LVL8">
    <w:name w:val="WW_CharLFO9LVL8"/>
    <w:qFormat/>
    <w:rPr>
      <w:rFonts w:ascii="Courier New" w:hAnsi="Courier New"/>
    </w:rPr>
  </w:style>
  <w:style w:type="character" w:customStyle="1" w:styleId="WWCharLFO9LVL9">
    <w:name w:val="WW_CharLFO9LVL9"/>
    <w:qFormat/>
    <w:rPr>
      <w:rFonts w:ascii="Wingdings" w:hAnsi="Wingdings"/>
    </w:rPr>
  </w:style>
  <w:style w:type="character" w:customStyle="1" w:styleId="WWCharLFO10LVL1">
    <w:name w:val="WW_CharLFO10LVL1"/>
    <w:qFormat/>
    <w:rPr>
      <w:rFonts w:eastAsia="Arial Unicode MS"/>
    </w:rPr>
  </w:style>
  <w:style w:type="character" w:customStyle="1" w:styleId="WWCharLFO10LVL2">
    <w:name w:val="WW_CharLFO10LVL2"/>
    <w:qFormat/>
    <w:rPr>
      <w:rFonts w:ascii="Courier New" w:hAnsi="Courier New"/>
    </w:rPr>
  </w:style>
  <w:style w:type="character" w:customStyle="1" w:styleId="WWCharLFO10LVL3">
    <w:name w:val="WW_CharLFO10LVL3"/>
    <w:qFormat/>
    <w:rPr>
      <w:rFonts w:ascii="Wingdings" w:hAnsi="Wingdings"/>
    </w:rPr>
  </w:style>
  <w:style w:type="character" w:customStyle="1" w:styleId="WWCharLFO10LVL4">
    <w:name w:val="WW_CharLFO10LVL4"/>
    <w:qFormat/>
    <w:rPr>
      <w:rFonts w:ascii="Symbol" w:hAnsi="Symbol"/>
    </w:rPr>
  </w:style>
  <w:style w:type="character" w:customStyle="1" w:styleId="WWCharLFO10LVL5">
    <w:name w:val="WW_CharLFO10LVL5"/>
    <w:qFormat/>
    <w:rPr>
      <w:rFonts w:ascii="Courier New" w:hAnsi="Courier New"/>
    </w:rPr>
  </w:style>
  <w:style w:type="character" w:customStyle="1" w:styleId="WWCharLFO10LVL6">
    <w:name w:val="WW_CharLFO10LVL6"/>
    <w:qFormat/>
    <w:rPr>
      <w:rFonts w:ascii="Wingdings" w:hAnsi="Wingdings"/>
    </w:rPr>
  </w:style>
  <w:style w:type="character" w:customStyle="1" w:styleId="WWCharLFO10LVL7">
    <w:name w:val="WW_CharLFO10LVL7"/>
    <w:qFormat/>
    <w:rPr>
      <w:rFonts w:ascii="Symbol" w:hAnsi="Symbol"/>
    </w:rPr>
  </w:style>
  <w:style w:type="character" w:customStyle="1" w:styleId="WWCharLFO10LVL8">
    <w:name w:val="WW_CharLFO10LVL8"/>
    <w:qFormat/>
    <w:rPr>
      <w:rFonts w:ascii="Courier New" w:hAnsi="Courier New"/>
    </w:rPr>
  </w:style>
  <w:style w:type="character" w:customStyle="1" w:styleId="WWCharLFO10LVL9">
    <w:name w:val="WW_CharLFO10LVL9"/>
    <w:qFormat/>
    <w:rPr>
      <w:rFonts w:ascii="Wingdings" w:hAnsi="Wingdings"/>
    </w:rPr>
  </w:style>
  <w:style w:type="character" w:customStyle="1" w:styleId="WWCharLFO11LVL1">
    <w:name w:val="WW_CharLFO11LVL1"/>
    <w:qFormat/>
    <w:rPr>
      <w:rFonts w:eastAsia="Arial Unicode MS"/>
    </w:rPr>
  </w:style>
  <w:style w:type="character" w:customStyle="1" w:styleId="WWCharLFO11LVL2">
    <w:name w:val="WW_CharLFO11LVL2"/>
    <w:qFormat/>
    <w:rPr>
      <w:rFonts w:ascii="Courier New" w:hAnsi="Courier New"/>
    </w:rPr>
  </w:style>
  <w:style w:type="character" w:customStyle="1" w:styleId="WWCharLFO11LVL3">
    <w:name w:val="WW_CharLFO11LVL3"/>
    <w:qFormat/>
    <w:rPr>
      <w:rFonts w:ascii="Wingdings" w:hAnsi="Wingdings"/>
    </w:rPr>
  </w:style>
  <w:style w:type="character" w:customStyle="1" w:styleId="WWCharLFO11LVL4">
    <w:name w:val="WW_CharLFO11LVL4"/>
    <w:qFormat/>
    <w:rPr>
      <w:rFonts w:ascii="Symbol" w:hAnsi="Symbol"/>
    </w:rPr>
  </w:style>
  <w:style w:type="character" w:customStyle="1" w:styleId="WWCharLFO11LVL5">
    <w:name w:val="WW_CharLFO11LVL5"/>
    <w:qFormat/>
    <w:rPr>
      <w:rFonts w:ascii="Courier New" w:hAnsi="Courier New"/>
    </w:rPr>
  </w:style>
  <w:style w:type="character" w:customStyle="1" w:styleId="WWCharLFO11LVL6">
    <w:name w:val="WW_CharLFO11LVL6"/>
    <w:qFormat/>
    <w:rPr>
      <w:rFonts w:ascii="Wingdings" w:hAnsi="Wingdings"/>
    </w:rPr>
  </w:style>
  <w:style w:type="character" w:customStyle="1" w:styleId="WWCharLFO11LVL7">
    <w:name w:val="WW_CharLFO11LVL7"/>
    <w:qFormat/>
    <w:rPr>
      <w:rFonts w:ascii="Symbol" w:hAnsi="Symbol"/>
    </w:rPr>
  </w:style>
  <w:style w:type="character" w:customStyle="1" w:styleId="WWCharLFO11LVL8">
    <w:name w:val="WW_CharLFO11LVL8"/>
    <w:qFormat/>
    <w:rPr>
      <w:rFonts w:ascii="Courier New" w:hAnsi="Courier New"/>
    </w:rPr>
  </w:style>
  <w:style w:type="character" w:customStyle="1" w:styleId="WWCharLFO11LVL9">
    <w:name w:val="WW_CharLFO11LVL9"/>
    <w:qFormat/>
    <w:rPr>
      <w:rFonts w:ascii="Wingdings" w:hAnsi="Wingdings"/>
    </w:rPr>
  </w:style>
  <w:style w:type="character" w:customStyle="1" w:styleId="WWCharLFO12LVL1">
    <w:name w:val="WW_CharLFO12LVL1"/>
    <w:qFormat/>
    <w:rPr>
      <w:rFonts w:ascii="Palatino Linotype" w:hAnsi="Palatino Linotype"/>
    </w:rPr>
  </w:style>
  <w:style w:type="character" w:customStyle="1" w:styleId="WWCharLFO12LVL2">
    <w:name w:val="WW_CharLFO12LVL2"/>
    <w:qFormat/>
    <w:rPr>
      <w:rFonts w:ascii="Palatino Linotype" w:hAnsi="Palatino Linotype"/>
    </w:rPr>
  </w:style>
  <w:style w:type="character" w:customStyle="1" w:styleId="WWCharLFO12LVL3">
    <w:name w:val="WW_CharLFO12LVL3"/>
    <w:qFormat/>
    <w:rPr>
      <w:rFonts w:ascii="Palatino Linotype" w:hAnsi="Palatino Linotype"/>
    </w:rPr>
  </w:style>
  <w:style w:type="character" w:customStyle="1" w:styleId="WWCharLFO13LVL1">
    <w:name w:val="WW_CharLFO13LVL1"/>
    <w:qFormat/>
    <w:rPr>
      <w:rFonts w:ascii="Palatino Linotype" w:hAnsi="Palatino Linotype"/>
    </w:rPr>
  </w:style>
  <w:style w:type="character" w:customStyle="1" w:styleId="WWCharLFO13LVL2">
    <w:name w:val="WW_CharLFO13LVL2"/>
    <w:qFormat/>
    <w:rPr>
      <w:rFonts w:ascii="Palatino Linotype" w:hAnsi="Palatino Linotype"/>
    </w:rPr>
  </w:style>
  <w:style w:type="character" w:customStyle="1" w:styleId="WWCharLFO13LVL3">
    <w:name w:val="WW_CharLFO13LVL3"/>
    <w:qFormat/>
    <w:rPr>
      <w:rFonts w:ascii="Palatino Linotype" w:hAnsi="Palatino Linotype"/>
    </w:rPr>
  </w:style>
  <w:style w:type="character" w:customStyle="1" w:styleId="WWCharLFO14LVL1">
    <w:name w:val="WW_CharLFO14LVL1"/>
    <w:qFormat/>
    <w:rPr>
      <w:rFonts w:ascii="Palatino Linotype" w:hAnsi="Palatino Linotype"/>
    </w:rPr>
  </w:style>
  <w:style w:type="character" w:customStyle="1" w:styleId="WWCharLFO14LVL2">
    <w:name w:val="WW_CharLFO14LVL2"/>
    <w:qFormat/>
    <w:rPr>
      <w:rFonts w:ascii="Palatino Linotype" w:hAnsi="Palatino Linotype"/>
    </w:rPr>
  </w:style>
  <w:style w:type="character" w:customStyle="1" w:styleId="WWCharLFO14LVL3">
    <w:name w:val="WW_CharLFO14LVL3"/>
    <w:qFormat/>
    <w:rPr>
      <w:rFonts w:ascii="Palatino Linotype" w:hAnsi="Palatino Linotype"/>
    </w:rPr>
  </w:style>
  <w:style w:type="character" w:customStyle="1" w:styleId="WWCharLFO15LVL1">
    <w:name w:val="WW_CharLFO15LVL1"/>
    <w:qFormat/>
    <w:rPr>
      <w:rFonts w:ascii="Palatino Linotype" w:hAnsi="Palatino Linotype"/>
    </w:rPr>
  </w:style>
  <w:style w:type="character" w:customStyle="1" w:styleId="WWCharLFO15LVL2">
    <w:name w:val="WW_CharLFO15LVL2"/>
    <w:qFormat/>
    <w:rPr>
      <w:rFonts w:ascii="Palatino Linotype" w:hAnsi="Palatino Linotype"/>
    </w:rPr>
  </w:style>
  <w:style w:type="character" w:customStyle="1" w:styleId="WWCharLFO15LVL3">
    <w:name w:val="WW_CharLFO15LVL3"/>
    <w:qFormat/>
    <w:rPr>
      <w:rFonts w:ascii="Palatino Linotype" w:hAnsi="Palatino Linotype"/>
    </w:rPr>
  </w:style>
  <w:style w:type="character" w:customStyle="1" w:styleId="WWCharLFO16LVL1">
    <w:name w:val="WW_CharLFO16LVL1"/>
    <w:qFormat/>
    <w:rPr>
      <w:rFonts w:ascii="Palatino Linotype" w:hAnsi="Palatino Linotype"/>
    </w:rPr>
  </w:style>
  <w:style w:type="character" w:customStyle="1" w:styleId="WWCharLFO16LVL2">
    <w:name w:val="WW_CharLFO16LVL2"/>
    <w:qFormat/>
    <w:rPr>
      <w:rFonts w:ascii="Palatino Linotype" w:hAnsi="Palatino Linotype"/>
    </w:rPr>
  </w:style>
  <w:style w:type="character" w:customStyle="1" w:styleId="WWCharLFO16LVL3">
    <w:name w:val="WW_CharLFO16LVL3"/>
    <w:qFormat/>
    <w:rPr>
      <w:rFonts w:ascii="Palatino Linotype" w:hAnsi="Palatino Linotype"/>
    </w:rPr>
  </w:style>
  <w:style w:type="character" w:customStyle="1" w:styleId="WWCharLFO17LVL1">
    <w:name w:val="WW_CharLFO17LVL1"/>
    <w:qFormat/>
    <w:rPr>
      <w:rFonts w:ascii="Palatino Linotype" w:hAnsi="Palatino Linotype"/>
    </w:rPr>
  </w:style>
  <w:style w:type="character" w:customStyle="1" w:styleId="WWCharLFO17LVL2">
    <w:name w:val="WW_CharLFO17LVL2"/>
    <w:qFormat/>
    <w:rPr>
      <w:rFonts w:ascii="Palatino Linotype" w:hAnsi="Palatino Linotype"/>
    </w:rPr>
  </w:style>
  <w:style w:type="character" w:customStyle="1" w:styleId="WWCharLFO17LVL3">
    <w:name w:val="WW_CharLFO17LVL3"/>
    <w:qFormat/>
    <w:rPr>
      <w:rFonts w:ascii="Palatino Linotype" w:hAnsi="Palatino Linotype"/>
    </w:rPr>
  </w:style>
  <w:style w:type="character" w:customStyle="1" w:styleId="WWCharLFO18LVL1">
    <w:name w:val="WW_CharLFO18LVL1"/>
    <w:qFormat/>
    <w:rPr>
      <w:rFonts w:ascii="Palatino Linotype" w:hAnsi="Palatino Linotype"/>
    </w:rPr>
  </w:style>
  <w:style w:type="character" w:customStyle="1" w:styleId="WWCharLFO18LVL2">
    <w:name w:val="WW_CharLFO18LVL2"/>
    <w:qFormat/>
    <w:rPr>
      <w:rFonts w:ascii="Palatino Linotype" w:hAnsi="Palatino Linotype"/>
    </w:rPr>
  </w:style>
  <w:style w:type="character" w:customStyle="1" w:styleId="WWCharLFO18LVL3">
    <w:name w:val="WW_CharLFO18LVL3"/>
    <w:qFormat/>
    <w:rPr>
      <w:rFonts w:ascii="Palatino Linotype" w:hAnsi="Palatino Linotype"/>
    </w:rPr>
  </w:style>
  <w:style w:type="character" w:customStyle="1" w:styleId="WWCharLFO19LVL1">
    <w:name w:val="WW_CharLFO19LVL1"/>
    <w:qFormat/>
    <w:rPr>
      <w:rFonts w:ascii="Palatino Linotype" w:hAnsi="Palatino Linotype"/>
    </w:rPr>
  </w:style>
  <w:style w:type="character" w:customStyle="1" w:styleId="WWCharLFO19LVL2">
    <w:name w:val="WW_CharLFO19LVL2"/>
    <w:qFormat/>
    <w:rPr>
      <w:rFonts w:ascii="Palatino Linotype" w:hAnsi="Palatino Linotype"/>
    </w:rPr>
  </w:style>
  <w:style w:type="character" w:customStyle="1" w:styleId="WWCharLFO19LVL3">
    <w:name w:val="WW_CharLFO19LVL3"/>
    <w:qFormat/>
    <w:rPr>
      <w:rFonts w:ascii="Palatino Linotype" w:hAnsi="Palatino Linotype"/>
    </w:rPr>
  </w:style>
  <w:style w:type="character" w:customStyle="1" w:styleId="WWCharLFO20LVL1">
    <w:name w:val="WW_CharLFO20LVL1"/>
    <w:qFormat/>
    <w:rPr>
      <w:rFonts w:ascii="Palatino Linotype" w:hAnsi="Palatino Linotype"/>
    </w:rPr>
  </w:style>
  <w:style w:type="character" w:customStyle="1" w:styleId="WWCharLFO20LVL2">
    <w:name w:val="WW_CharLFO20LVL2"/>
    <w:qFormat/>
    <w:rPr>
      <w:rFonts w:ascii="Palatino Linotype" w:hAnsi="Palatino Linotype"/>
    </w:rPr>
  </w:style>
  <w:style w:type="character" w:customStyle="1" w:styleId="WWCharLFO20LVL3">
    <w:name w:val="WW_CharLFO20LVL3"/>
    <w:qFormat/>
    <w:rPr>
      <w:rFonts w:ascii="Palatino Linotype" w:hAnsi="Palatino Linotype"/>
    </w:rPr>
  </w:style>
  <w:style w:type="character" w:customStyle="1" w:styleId="Funotenanker">
    <w:name w:val="Fußnotenanker"/>
    <w:qFormat/>
    <w:rPr>
      <w:vertAlign w:val="superscript"/>
    </w:rPr>
  </w:style>
  <w:style w:type="character" w:styleId="Endnotenzeichen">
    <w:name w:val="endnote reference"/>
    <w:qFormat/>
  </w:style>
  <w:style w:type="character" w:customStyle="1" w:styleId="Internetverknpfung">
    <w:name w:val="Internetverknüpfung"/>
    <w:rPr>
      <w:color w:val="000080"/>
      <w:u w:val="single"/>
    </w:rPr>
  </w:style>
  <w:style w:type="character" w:customStyle="1" w:styleId="BesuchteInternetverknpfung">
    <w:name w:val="Besuchte Internetverknüpfung"/>
    <w:rPr>
      <w:color w:val="800000"/>
      <w:u w:val="single"/>
    </w:rPr>
  </w:style>
  <w:style w:type="character" w:customStyle="1" w:styleId="Endnotenanker">
    <w:name w:val="Endnotenanker"/>
    <w:rPr>
      <w:vertAlign w:val="superscript"/>
    </w:rPr>
  </w:style>
  <w:style w:type="character" w:customStyle="1" w:styleId="Nummerierungszeichen">
    <w:name w:val="Nummerierungszeichen"/>
    <w:qFormat/>
  </w:style>
  <w:style w:type="paragraph" w:customStyle="1" w:styleId="berschrift">
    <w:name w:val="Überschrift"/>
    <w:basedOn w:val="Standard"/>
    <w:next w:val="Textkrper"/>
    <w:qFormat/>
    <w:pPr>
      <w:keepNext/>
      <w:spacing w:before="240" w:after="120"/>
    </w:pPr>
    <w:rPr>
      <w:rFonts w:ascii="Liberation Sans" w:eastAsia="MS Gothic" w:hAnsi="Liberation Sans" w:cs="Tahoma"/>
      <w:sz w:val="28"/>
      <w:szCs w:val="28"/>
    </w:rPr>
  </w:style>
  <w:style w:type="paragraph" w:styleId="Textkrper">
    <w:name w:val="Body Text"/>
    <w:basedOn w:val="Standard"/>
    <w:pPr>
      <w:spacing w:after="140" w:line="276" w:lineRule="auto"/>
    </w:pPr>
  </w:style>
  <w:style w:type="paragraph" w:styleId="Anrede">
    <w:name w:val="Salutation"/>
    <w:basedOn w:val="Standard"/>
    <w:next w:val="Subscriptio"/>
    <w:qFormat/>
    <w:pPr>
      <w:spacing w:after="227"/>
    </w:pPr>
  </w:style>
  <w:style w:type="paragraph" w:customStyle="1" w:styleId="Adresse">
    <w:name w:val="Adresse"/>
    <w:basedOn w:val="Standard"/>
    <w:qFormat/>
    <w:pPr>
      <w:spacing w:before="240" w:after="0" w:line="300" w:lineRule="exact"/>
      <w:jc w:val="left"/>
    </w:pPr>
  </w:style>
  <w:style w:type="paragraph" w:customStyle="1" w:styleId="Betreff">
    <w:name w:val="Betreff"/>
    <w:basedOn w:val="Standard"/>
    <w:qFormat/>
    <w:pPr>
      <w:tabs>
        <w:tab w:val="left" w:pos="907"/>
      </w:tabs>
      <w:spacing w:before="720" w:after="720"/>
      <w:ind w:left="907" w:hanging="907"/>
    </w:pPr>
  </w:style>
  <w:style w:type="paragraph" w:customStyle="1" w:styleId="Subscriptio">
    <w:name w:val="Subscriptio"/>
    <w:basedOn w:val="Standard"/>
    <w:qFormat/>
    <w:pPr>
      <w:spacing w:after="0"/>
      <w:jc w:val="left"/>
    </w:pPr>
  </w:style>
  <w:style w:type="paragraph" w:customStyle="1" w:styleId="Kopf-undFuzeile">
    <w:name w:val="Kopf- und Fußzeile"/>
    <w:basedOn w:val="Standard"/>
    <w:qFormat/>
    <w:pPr>
      <w:suppressLineNumbers/>
      <w:tabs>
        <w:tab w:val="center" w:pos="4819"/>
        <w:tab w:val="right" w:pos="9638"/>
      </w:tabs>
    </w:pPr>
  </w:style>
  <w:style w:type="paragraph" w:styleId="Kopfzeile">
    <w:name w:val="header"/>
    <w:basedOn w:val="Standard"/>
    <w:pPr>
      <w:pBdr>
        <w:bottom w:val="single" w:sz="12" w:space="3" w:color="000000"/>
      </w:pBdr>
      <w:tabs>
        <w:tab w:val="center" w:pos="4536"/>
        <w:tab w:val="right" w:pos="9072"/>
      </w:tabs>
      <w:spacing w:after="240"/>
      <w:jc w:val="center"/>
    </w:pPr>
    <w:rPr>
      <w:rFonts w:eastAsia="Arial Unicode MS" w:cs="Arial Unicode MS"/>
      <w:sz w:val="14"/>
      <w:szCs w:val="21"/>
    </w:rPr>
  </w:style>
  <w:style w:type="paragraph" w:styleId="Fuzeile">
    <w:name w:val="footer"/>
    <w:basedOn w:val="Standard"/>
    <w:pPr>
      <w:pBdr>
        <w:top w:val="single" w:sz="12" w:space="3" w:color="000000"/>
      </w:pBdr>
      <w:tabs>
        <w:tab w:val="center" w:pos="4536"/>
        <w:tab w:val="right" w:pos="9072"/>
      </w:tabs>
      <w:spacing w:before="240" w:after="0"/>
      <w:ind w:left="-57" w:right="-57"/>
      <w:jc w:val="center"/>
    </w:pPr>
    <w:rPr>
      <w:rFonts w:eastAsia="Arial Unicode MS" w:cs="Arial Unicode MS"/>
      <w:spacing w:val="-2"/>
      <w:sz w:val="15"/>
      <w:szCs w:val="21"/>
    </w:rPr>
  </w:style>
  <w:style w:type="paragraph" w:customStyle="1" w:styleId="Datierung">
    <w:name w:val="Datierung"/>
    <w:basedOn w:val="Standard"/>
    <w:qFormat/>
    <w:pPr>
      <w:spacing w:before="480" w:after="0"/>
      <w:ind w:right="113"/>
      <w:jc w:val="right"/>
    </w:pPr>
    <w:rPr>
      <w:bCs/>
    </w:rPr>
  </w:style>
  <w:style w:type="paragraph" w:customStyle="1" w:styleId="Anlagen">
    <w:name w:val="Anlagen"/>
    <w:basedOn w:val="Standard"/>
    <w:qFormat/>
    <w:pPr>
      <w:tabs>
        <w:tab w:val="left" w:pos="1021"/>
      </w:tabs>
      <w:spacing w:before="480" w:after="0"/>
      <w:ind w:left="1021" w:hanging="1021"/>
      <w:jc w:val="left"/>
    </w:pPr>
  </w:style>
  <w:style w:type="paragraph" w:styleId="Funotentext">
    <w:name w:val="footnote text"/>
    <w:basedOn w:val="Standard"/>
    <w:qFormat/>
  </w:style>
  <w:style w:type="paragraph" w:styleId="Verzeichnis1">
    <w:name w:val="toc 1"/>
    <w:basedOn w:val="Standard"/>
    <w:next w:val="Standard"/>
    <w:autoRedefine/>
    <w:qFormat/>
    <w:pPr>
      <w:spacing w:before="60" w:after="0"/>
      <w:jc w:val="left"/>
    </w:pPr>
    <w:rPr>
      <w:b/>
      <w:caps/>
    </w:rPr>
  </w:style>
  <w:style w:type="paragraph" w:styleId="Verzeichnis2">
    <w:name w:val="toc 2"/>
    <w:basedOn w:val="Standard"/>
    <w:autoRedefine/>
    <w:qFormat/>
    <w:pPr>
      <w:spacing w:before="120" w:after="0"/>
      <w:ind w:left="238"/>
      <w:jc w:val="left"/>
    </w:pPr>
    <w:rPr>
      <w:smallCaps/>
    </w:rPr>
  </w:style>
  <w:style w:type="paragraph" w:styleId="Verzeichnis3">
    <w:name w:val="toc 3"/>
    <w:basedOn w:val="Standard"/>
    <w:next w:val="Standard"/>
    <w:autoRedefine/>
    <w:qFormat/>
    <w:pPr>
      <w:spacing w:before="120" w:after="0"/>
      <w:ind w:left="482"/>
      <w:jc w:val="left"/>
    </w:pPr>
    <w:rPr>
      <w:i/>
    </w:rPr>
  </w:style>
  <w:style w:type="paragraph" w:styleId="Verzeichnis4">
    <w:name w:val="toc 4"/>
    <w:basedOn w:val="Standard"/>
    <w:next w:val="Standard"/>
    <w:autoRedefine/>
    <w:qFormat/>
    <w:pPr>
      <w:spacing w:before="120" w:after="0"/>
      <w:ind w:left="720"/>
      <w:jc w:val="left"/>
    </w:pPr>
    <w:rPr>
      <w:sz w:val="18"/>
    </w:rPr>
  </w:style>
  <w:style w:type="paragraph" w:styleId="Verzeichnis5">
    <w:name w:val="toc 5"/>
    <w:basedOn w:val="Standard"/>
    <w:next w:val="Standard"/>
    <w:autoRedefine/>
    <w:qFormat/>
    <w:pPr>
      <w:spacing w:before="120" w:after="0"/>
      <w:ind w:left="958"/>
      <w:jc w:val="left"/>
    </w:pPr>
    <w:rPr>
      <w:sz w:val="18"/>
    </w:rPr>
  </w:style>
  <w:style w:type="paragraph" w:styleId="Verzeichnis6">
    <w:name w:val="toc 6"/>
    <w:basedOn w:val="Standard"/>
    <w:next w:val="Standard"/>
    <w:autoRedefine/>
    <w:qFormat/>
    <w:pPr>
      <w:spacing w:before="120" w:after="0"/>
      <w:ind w:left="1202"/>
      <w:jc w:val="left"/>
    </w:pPr>
    <w:rPr>
      <w:sz w:val="18"/>
    </w:rPr>
  </w:style>
  <w:style w:type="paragraph" w:styleId="Verzeichnis7">
    <w:name w:val="toc 7"/>
    <w:basedOn w:val="Standard"/>
    <w:next w:val="Standard"/>
    <w:autoRedefine/>
    <w:qFormat/>
    <w:pPr>
      <w:tabs>
        <w:tab w:val="right" w:leader="dot" w:pos="8221"/>
      </w:tabs>
      <w:spacing w:before="120" w:after="0"/>
      <w:ind w:left="1200"/>
      <w:jc w:val="left"/>
    </w:pPr>
    <w:rPr>
      <w:sz w:val="18"/>
    </w:rPr>
  </w:style>
  <w:style w:type="paragraph" w:styleId="Verzeichnis8">
    <w:name w:val="toc 8"/>
    <w:basedOn w:val="Verzeichnis7"/>
    <w:next w:val="Standard"/>
    <w:autoRedefine/>
    <w:qFormat/>
    <w:pPr>
      <w:ind w:left="1400"/>
    </w:pPr>
  </w:style>
  <w:style w:type="paragraph" w:styleId="Verzeichnis9">
    <w:name w:val="toc 9"/>
    <w:basedOn w:val="Standard"/>
    <w:next w:val="Standard"/>
    <w:autoRedefine/>
    <w:qFormat/>
    <w:pPr>
      <w:tabs>
        <w:tab w:val="right" w:leader="dot" w:pos="8221"/>
      </w:tabs>
      <w:spacing w:before="120" w:after="0"/>
      <w:ind w:left="1600"/>
      <w:jc w:val="left"/>
    </w:pPr>
    <w:rPr>
      <w:sz w:val="18"/>
    </w:rPr>
  </w:style>
  <w:style w:type="paragraph" w:customStyle="1" w:styleId="Absenderfeld">
    <w:name w:val="Absenderfeld"/>
    <w:basedOn w:val="Standard"/>
    <w:qFormat/>
    <w:pPr>
      <w:tabs>
        <w:tab w:val="right" w:pos="4819"/>
      </w:tabs>
      <w:spacing w:line="190" w:lineRule="exact"/>
      <w:ind w:left="2013"/>
      <w:jc w:val="left"/>
    </w:pPr>
    <w:rPr>
      <w:bCs/>
      <w:sz w:val="15"/>
    </w:rPr>
  </w:style>
  <w:style w:type="paragraph" w:customStyle="1" w:styleId="Absender-Adrefeld">
    <w:name w:val="Absender-Adreßfeld"/>
    <w:basedOn w:val="Standard"/>
    <w:qFormat/>
    <w:pPr>
      <w:spacing w:before="80" w:after="20"/>
    </w:pPr>
    <w:rPr>
      <w:sz w:val="14"/>
    </w:rPr>
  </w:style>
  <w:style w:type="paragraph" w:customStyle="1" w:styleId="Tabelleninhalt">
    <w:name w:val="Tabelleninhalt"/>
    <w:basedOn w:val="Standard"/>
    <w:qFormat/>
    <w:pPr>
      <w:suppressLineNumbers/>
    </w:pPr>
  </w:style>
  <w:style w:type="paragraph" w:customStyle="1" w:styleId="Listeninhalt">
    <w:name w:val="Listeninhalt"/>
    <w:basedOn w:val="Standard"/>
    <w:qFormat/>
    <w:pPr>
      <w:ind w:left="567"/>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uppressAutoHyphens/>
      <w:spacing w:after="57"/>
      <w:jc w:val="both"/>
    </w:pPr>
    <w:rPr>
      <w:rFonts w:ascii="Palatino Linotype:onum&amp;liga&amp;ker" w:hAnsi="Palatino Linotype:onum&amp;liga&amp;ker"/>
    </w:rPr>
  </w:style>
  <w:style w:type="paragraph" w:styleId="berschrift1">
    <w:name w:val="heading 1"/>
    <w:basedOn w:val="Standard"/>
    <w:next w:val="Standard"/>
    <w:qFormat/>
    <w:pPr>
      <w:keepNext/>
      <w:keepLines/>
      <w:numPr>
        <w:numId w:val="1"/>
      </w:numPr>
      <w:spacing w:before="240" w:after="240"/>
      <w:outlineLvl w:val="0"/>
    </w:pPr>
    <w:rPr>
      <w:b/>
      <w:sz w:val="28"/>
    </w:rPr>
  </w:style>
  <w:style w:type="paragraph" w:styleId="berschrift2">
    <w:name w:val="heading 2"/>
    <w:basedOn w:val="berschrift1"/>
    <w:next w:val="Standard"/>
    <w:qFormat/>
    <w:pPr>
      <w:numPr>
        <w:ilvl w:val="1"/>
      </w:numPr>
      <w:outlineLvl w:val="1"/>
    </w:pPr>
    <w:rPr>
      <w:sz w:val="26"/>
    </w:rPr>
  </w:style>
  <w:style w:type="paragraph" w:styleId="berschrift3">
    <w:name w:val="heading 3"/>
    <w:basedOn w:val="berschrift2"/>
    <w:next w:val="Standard"/>
    <w:qFormat/>
    <w:pPr>
      <w:numPr>
        <w:ilvl w:val="2"/>
      </w:numPr>
      <w:outlineLvl w:val="2"/>
    </w:pPr>
    <w:rPr>
      <w:sz w:val="22"/>
    </w:rPr>
  </w:style>
  <w:style w:type="paragraph" w:styleId="berschrift4">
    <w:name w:val="heading 4"/>
    <w:basedOn w:val="berschrift3"/>
    <w:next w:val="Standard"/>
    <w:qFormat/>
    <w:pPr>
      <w:numPr>
        <w:ilvl w:val="3"/>
      </w:numPr>
      <w:outlineLvl w:val="3"/>
    </w:pPr>
  </w:style>
  <w:style w:type="paragraph" w:styleId="berschrift5">
    <w:name w:val="heading 5"/>
    <w:basedOn w:val="berschrift4"/>
    <w:next w:val="Standard"/>
    <w:qFormat/>
    <w:pPr>
      <w:numPr>
        <w:ilvl w:val="4"/>
      </w:numPr>
      <w:outlineLvl w:val="4"/>
    </w:pPr>
  </w:style>
  <w:style w:type="paragraph" w:styleId="berschrift6">
    <w:name w:val="heading 6"/>
    <w:basedOn w:val="berschrift5"/>
    <w:next w:val="Standard"/>
    <w:qFormat/>
    <w:pPr>
      <w:numPr>
        <w:ilvl w:val="5"/>
      </w:numPr>
      <w:outlineLvl w:val="5"/>
    </w:pPr>
    <w:rPr>
      <w:sz w:val="20"/>
    </w:rPr>
  </w:style>
  <w:style w:type="paragraph" w:styleId="berschrift7">
    <w:name w:val="heading 7"/>
    <w:basedOn w:val="berschrift6"/>
    <w:next w:val="Standard"/>
    <w:qFormat/>
    <w:pPr>
      <w:numPr>
        <w:ilvl w:val="6"/>
      </w:numPr>
      <w:outlineLvl w:val="6"/>
    </w:pPr>
  </w:style>
  <w:style w:type="paragraph" w:styleId="berschrift8">
    <w:name w:val="heading 8"/>
    <w:basedOn w:val="berschrift7"/>
    <w:next w:val="Standard"/>
    <w:qFormat/>
    <w:pPr>
      <w:numPr>
        <w:ilvl w:val="7"/>
      </w:numPr>
      <w:outlineLvl w:val="7"/>
    </w:pPr>
    <w:rPr>
      <w:b w:val="0"/>
      <w:i/>
    </w:rPr>
  </w:style>
  <w:style w:type="paragraph" w:styleId="berschrift9">
    <w:name w:val="heading 9"/>
    <w:basedOn w:val="Standard"/>
    <w:next w:val="Standard"/>
    <w:qFormat/>
    <w:pPr>
      <w:numPr>
        <w:ilvl w:val="8"/>
        <w:numId w:val="1"/>
      </w:numPr>
      <w:spacing w:after="240"/>
      <w:outlineLvl w:val="8"/>
    </w:pPr>
    <w:rPr>
      <w:rFonts w:ascii="Times New Roman" w:hAnsi="Times New Roman"/>
      <w: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rPr>
      <w:rFonts w:ascii="Palatino Linotype" w:hAnsi="Palatino Linotype"/>
      <w:i/>
      <w:strike w:val="0"/>
      <w:dstrike w:val="0"/>
      <w:color w:val="auto"/>
      <w:position w:val="0"/>
      <w:sz w:val="18"/>
      <w:vertAlign w:val="baseline"/>
    </w:rPr>
  </w:style>
  <w:style w:type="character" w:styleId="Hyperlink">
    <w:name w:val="Hyperlink"/>
    <w:basedOn w:val="Absatz-Standardschriftart"/>
    <w:qFormat/>
    <w:rPr>
      <w:rFonts w:ascii="Palatino Linotype" w:hAnsi="Palatino Linotype"/>
      <w:color w:val="auto"/>
      <w:u w:val="none"/>
    </w:rPr>
  </w:style>
  <w:style w:type="character" w:styleId="BesuchterHyperlink">
    <w:name w:val="FollowedHyperlink"/>
    <w:basedOn w:val="Absatz-Standardschriftart"/>
    <w:qFormat/>
    <w:rPr>
      <w:rFonts w:ascii="Palatino Linotype" w:hAnsi="Palatino Linotype"/>
      <w:color w:val="auto"/>
      <w:u w:val="none"/>
    </w:rPr>
  </w:style>
  <w:style w:type="character" w:styleId="Funotenzeichen">
    <w:name w:val="footnote reference"/>
    <w:qFormat/>
  </w:style>
  <w:style w:type="character" w:customStyle="1" w:styleId="WWCharOUTLINELVL1">
    <w:name w:val="WW_CharOUTLINELVL1"/>
    <w:qFormat/>
    <w:rPr>
      <w:rFonts w:ascii="Palatino Linotype" w:hAnsi="Palatino Linotype"/>
    </w:rPr>
  </w:style>
  <w:style w:type="character" w:customStyle="1" w:styleId="WWCharOUTLINELVL2">
    <w:name w:val="WW_CharOUTLINELVL2"/>
    <w:qFormat/>
    <w:rPr>
      <w:rFonts w:ascii="Palatino Linotype" w:hAnsi="Palatino Linotype"/>
    </w:rPr>
  </w:style>
  <w:style w:type="character" w:customStyle="1" w:styleId="WWCharOUTLINELVL3">
    <w:name w:val="WW_CharOUTLINELVL3"/>
    <w:qFormat/>
    <w:rPr>
      <w:rFonts w:ascii="Palatino Linotype" w:hAnsi="Palatino Linotype"/>
    </w:rPr>
  </w:style>
  <w:style w:type="character" w:customStyle="1" w:styleId="WWCharLFO1LVL1">
    <w:name w:val="WW_CharLFO1LVL1"/>
    <w:qFormat/>
    <w:rPr>
      <w:rFonts w:ascii="Symbol" w:hAnsi="Symbol"/>
      <w:sz w:val="20"/>
    </w:rPr>
  </w:style>
  <w:style w:type="character" w:customStyle="1" w:styleId="WWCharLFO2LVL1">
    <w:name w:val="WW_CharLFO2LVL1"/>
    <w:qFormat/>
    <w:rPr>
      <w:rFonts w:ascii="Wingdings" w:hAnsi="Wingdings"/>
    </w:rPr>
  </w:style>
  <w:style w:type="character" w:customStyle="1" w:styleId="WWCharLFO3LVL1">
    <w:name w:val="WW_CharLFO3LVL1"/>
    <w:qFormat/>
    <w:rPr>
      <w:rFonts w:ascii="Wingdings" w:hAnsi="Wingdings"/>
    </w:rPr>
  </w:style>
  <w:style w:type="character" w:customStyle="1" w:styleId="WWCharLFO4LVL1">
    <w:name w:val="WW_CharLFO4LVL1"/>
    <w:qFormat/>
    <w:rPr>
      <w:rFonts w:ascii="Wingdings" w:hAnsi="Wingdings"/>
    </w:rPr>
  </w:style>
  <w:style w:type="character" w:customStyle="1" w:styleId="WWCharLFO5LVL1">
    <w:name w:val="WW_CharLFO5LVL1"/>
    <w:qFormat/>
    <w:rPr>
      <w:rFonts w:ascii="ITC Zapf Dingbats SWA" w:hAnsi="ITC Zapf Dingbats SWA"/>
      <w:sz w:val="20"/>
    </w:rPr>
  </w:style>
  <w:style w:type="character" w:customStyle="1" w:styleId="WWCharLFO6LVL1">
    <w:name w:val="WW_CharLFO6LVL1"/>
    <w:qFormat/>
    <w:rPr>
      <w:rFonts w:ascii="ITC Zapf Dingbats SWA" w:hAnsi="ITC Zapf Dingbats SWA"/>
      <w:sz w:val="20"/>
    </w:rPr>
  </w:style>
  <w:style w:type="character" w:customStyle="1" w:styleId="WWCharLFO7LVL1">
    <w:name w:val="WW_CharLFO7LVL1"/>
    <w:qFormat/>
    <w:rPr>
      <w:rFonts w:ascii="Garamond" w:hAnsi="Garamond"/>
    </w:rPr>
  </w:style>
  <w:style w:type="character" w:customStyle="1" w:styleId="WWCharLFO7LVL2">
    <w:name w:val="WW_CharLFO7LVL2"/>
    <w:qFormat/>
    <w:rPr>
      <w:rFonts w:ascii="Courier New" w:hAnsi="Courier New"/>
    </w:rPr>
  </w:style>
  <w:style w:type="character" w:customStyle="1" w:styleId="WWCharLFO7LVL3">
    <w:name w:val="WW_CharLFO7LVL3"/>
    <w:qFormat/>
    <w:rPr>
      <w:rFonts w:ascii="Wingdings" w:hAnsi="Wingdings"/>
    </w:rPr>
  </w:style>
  <w:style w:type="character" w:customStyle="1" w:styleId="WWCharLFO7LVL4">
    <w:name w:val="WW_CharLFO7LVL4"/>
    <w:qFormat/>
    <w:rPr>
      <w:rFonts w:ascii="Symbol" w:hAnsi="Symbol"/>
    </w:rPr>
  </w:style>
  <w:style w:type="character" w:customStyle="1" w:styleId="WWCharLFO7LVL5">
    <w:name w:val="WW_CharLFO7LVL5"/>
    <w:qFormat/>
    <w:rPr>
      <w:rFonts w:ascii="Courier New" w:hAnsi="Courier New"/>
    </w:rPr>
  </w:style>
  <w:style w:type="character" w:customStyle="1" w:styleId="WWCharLFO7LVL6">
    <w:name w:val="WW_CharLFO7LVL6"/>
    <w:qFormat/>
    <w:rPr>
      <w:rFonts w:ascii="Wingdings" w:hAnsi="Wingdings"/>
    </w:rPr>
  </w:style>
  <w:style w:type="character" w:customStyle="1" w:styleId="WWCharLFO7LVL7">
    <w:name w:val="WW_CharLFO7LVL7"/>
    <w:qFormat/>
    <w:rPr>
      <w:rFonts w:ascii="Symbol" w:hAnsi="Symbol"/>
    </w:rPr>
  </w:style>
  <w:style w:type="character" w:customStyle="1" w:styleId="WWCharLFO7LVL8">
    <w:name w:val="WW_CharLFO7LVL8"/>
    <w:qFormat/>
    <w:rPr>
      <w:rFonts w:ascii="Courier New" w:hAnsi="Courier New"/>
    </w:rPr>
  </w:style>
  <w:style w:type="character" w:customStyle="1" w:styleId="WWCharLFO7LVL9">
    <w:name w:val="WW_CharLFO7LVL9"/>
    <w:qFormat/>
    <w:rPr>
      <w:rFonts w:ascii="Wingdings" w:hAnsi="Wingdings"/>
    </w:rPr>
  </w:style>
  <w:style w:type="character" w:customStyle="1" w:styleId="WWCharLFO8LVL1">
    <w:name w:val="WW_CharLFO8LVL1"/>
    <w:qFormat/>
    <w:rPr>
      <w:rFonts w:ascii="Garamond" w:hAnsi="Garamond"/>
    </w:rPr>
  </w:style>
  <w:style w:type="character" w:customStyle="1" w:styleId="WWCharLFO8LVL2">
    <w:name w:val="WW_CharLFO8LVL2"/>
    <w:qFormat/>
    <w:rPr>
      <w:rFonts w:ascii="Courier New" w:hAnsi="Courier New"/>
    </w:rPr>
  </w:style>
  <w:style w:type="character" w:customStyle="1" w:styleId="WWCharLFO8LVL3">
    <w:name w:val="WW_CharLFO8LVL3"/>
    <w:qFormat/>
    <w:rPr>
      <w:rFonts w:ascii="Wingdings" w:hAnsi="Wingdings"/>
    </w:rPr>
  </w:style>
  <w:style w:type="character" w:customStyle="1" w:styleId="WWCharLFO8LVL4">
    <w:name w:val="WW_CharLFO8LVL4"/>
    <w:qFormat/>
    <w:rPr>
      <w:rFonts w:ascii="Symbol" w:hAnsi="Symbol"/>
    </w:rPr>
  </w:style>
  <w:style w:type="character" w:customStyle="1" w:styleId="WWCharLFO8LVL5">
    <w:name w:val="WW_CharLFO8LVL5"/>
    <w:qFormat/>
    <w:rPr>
      <w:rFonts w:ascii="Courier New" w:hAnsi="Courier New"/>
    </w:rPr>
  </w:style>
  <w:style w:type="character" w:customStyle="1" w:styleId="WWCharLFO8LVL6">
    <w:name w:val="WW_CharLFO8LVL6"/>
    <w:qFormat/>
    <w:rPr>
      <w:rFonts w:ascii="Wingdings" w:hAnsi="Wingdings"/>
    </w:rPr>
  </w:style>
  <w:style w:type="character" w:customStyle="1" w:styleId="WWCharLFO8LVL7">
    <w:name w:val="WW_CharLFO8LVL7"/>
    <w:qFormat/>
    <w:rPr>
      <w:rFonts w:ascii="Symbol" w:hAnsi="Symbol"/>
    </w:rPr>
  </w:style>
  <w:style w:type="character" w:customStyle="1" w:styleId="WWCharLFO8LVL8">
    <w:name w:val="WW_CharLFO8LVL8"/>
    <w:qFormat/>
    <w:rPr>
      <w:rFonts w:ascii="Courier New" w:hAnsi="Courier New"/>
    </w:rPr>
  </w:style>
  <w:style w:type="character" w:customStyle="1" w:styleId="WWCharLFO8LVL9">
    <w:name w:val="WW_CharLFO8LVL9"/>
    <w:qFormat/>
    <w:rPr>
      <w:rFonts w:ascii="Wingdings" w:hAnsi="Wingdings"/>
    </w:rPr>
  </w:style>
  <w:style w:type="character" w:customStyle="1" w:styleId="WWCharLFO9LVL1">
    <w:name w:val="WW_CharLFO9LVL1"/>
    <w:qFormat/>
    <w:rPr>
      <w:rFonts w:ascii="Palatino Linotype" w:hAnsi="Palatino Linotype"/>
    </w:rPr>
  </w:style>
  <w:style w:type="character" w:customStyle="1" w:styleId="WWCharLFO9LVL2">
    <w:name w:val="WW_CharLFO9LVL2"/>
    <w:qFormat/>
    <w:rPr>
      <w:rFonts w:ascii="Courier New" w:hAnsi="Courier New"/>
    </w:rPr>
  </w:style>
  <w:style w:type="character" w:customStyle="1" w:styleId="WWCharLFO9LVL3">
    <w:name w:val="WW_CharLFO9LVL3"/>
    <w:qFormat/>
    <w:rPr>
      <w:rFonts w:ascii="Wingdings" w:hAnsi="Wingdings"/>
    </w:rPr>
  </w:style>
  <w:style w:type="character" w:customStyle="1" w:styleId="WWCharLFO9LVL4">
    <w:name w:val="WW_CharLFO9LVL4"/>
    <w:qFormat/>
    <w:rPr>
      <w:rFonts w:ascii="Symbol" w:hAnsi="Symbol"/>
    </w:rPr>
  </w:style>
  <w:style w:type="character" w:customStyle="1" w:styleId="WWCharLFO9LVL5">
    <w:name w:val="WW_CharLFO9LVL5"/>
    <w:qFormat/>
    <w:rPr>
      <w:rFonts w:ascii="Courier New" w:hAnsi="Courier New"/>
    </w:rPr>
  </w:style>
  <w:style w:type="character" w:customStyle="1" w:styleId="WWCharLFO9LVL6">
    <w:name w:val="WW_CharLFO9LVL6"/>
    <w:qFormat/>
    <w:rPr>
      <w:rFonts w:ascii="Wingdings" w:hAnsi="Wingdings"/>
    </w:rPr>
  </w:style>
  <w:style w:type="character" w:customStyle="1" w:styleId="WWCharLFO9LVL7">
    <w:name w:val="WW_CharLFO9LVL7"/>
    <w:qFormat/>
    <w:rPr>
      <w:rFonts w:ascii="Symbol" w:hAnsi="Symbol"/>
    </w:rPr>
  </w:style>
  <w:style w:type="character" w:customStyle="1" w:styleId="WWCharLFO9LVL8">
    <w:name w:val="WW_CharLFO9LVL8"/>
    <w:qFormat/>
    <w:rPr>
      <w:rFonts w:ascii="Courier New" w:hAnsi="Courier New"/>
    </w:rPr>
  </w:style>
  <w:style w:type="character" w:customStyle="1" w:styleId="WWCharLFO9LVL9">
    <w:name w:val="WW_CharLFO9LVL9"/>
    <w:qFormat/>
    <w:rPr>
      <w:rFonts w:ascii="Wingdings" w:hAnsi="Wingdings"/>
    </w:rPr>
  </w:style>
  <w:style w:type="character" w:customStyle="1" w:styleId="WWCharLFO10LVL1">
    <w:name w:val="WW_CharLFO10LVL1"/>
    <w:qFormat/>
    <w:rPr>
      <w:rFonts w:eastAsia="Arial Unicode MS"/>
    </w:rPr>
  </w:style>
  <w:style w:type="character" w:customStyle="1" w:styleId="WWCharLFO10LVL2">
    <w:name w:val="WW_CharLFO10LVL2"/>
    <w:qFormat/>
    <w:rPr>
      <w:rFonts w:ascii="Courier New" w:hAnsi="Courier New"/>
    </w:rPr>
  </w:style>
  <w:style w:type="character" w:customStyle="1" w:styleId="WWCharLFO10LVL3">
    <w:name w:val="WW_CharLFO10LVL3"/>
    <w:qFormat/>
    <w:rPr>
      <w:rFonts w:ascii="Wingdings" w:hAnsi="Wingdings"/>
    </w:rPr>
  </w:style>
  <w:style w:type="character" w:customStyle="1" w:styleId="WWCharLFO10LVL4">
    <w:name w:val="WW_CharLFO10LVL4"/>
    <w:qFormat/>
    <w:rPr>
      <w:rFonts w:ascii="Symbol" w:hAnsi="Symbol"/>
    </w:rPr>
  </w:style>
  <w:style w:type="character" w:customStyle="1" w:styleId="WWCharLFO10LVL5">
    <w:name w:val="WW_CharLFO10LVL5"/>
    <w:qFormat/>
    <w:rPr>
      <w:rFonts w:ascii="Courier New" w:hAnsi="Courier New"/>
    </w:rPr>
  </w:style>
  <w:style w:type="character" w:customStyle="1" w:styleId="WWCharLFO10LVL6">
    <w:name w:val="WW_CharLFO10LVL6"/>
    <w:qFormat/>
    <w:rPr>
      <w:rFonts w:ascii="Wingdings" w:hAnsi="Wingdings"/>
    </w:rPr>
  </w:style>
  <w:style w:type="character" w:customStyle="1" w:styleId="WWCharLFO10LVL7">
    <w:name w:val="WW_CharLFO10LVL7"/>
    <w:qFormat/>
    <w:rPr>
      <w:rFonts w:ascii="Symbol" w:hAnsi="Symbol"/>
    </w:rPr>
  </w:style>
  <w:style w:type="character" w:customStyle="1" w:styleId="WWCharLFO10LVL8">
    <w:name w:val="WW_CharLFO10LVL8"/>
    <w:qFormat/>
    <w:rPr>
      <w:rFonts w:ascii="Courier New" w:hAnsi="Courier New"/>
    </w:rPr>
  </w:style>
  <w:style w:type="character" w:customStyle="1" w:styleId="WWCharLFO10LVL9">
    <w:name w:val="WW_CharLFO10LVL9"/>
    <w:qFormat/>
    <w:rPr>
      <w:rFonts w:ascii="Wingdings" w:hAnsi="Wingdings"/>
    </w:rPr>
  </w:style>
  <w:style w:type="character" w:customStyle="1" w:styleId="WWCharLFO11LVL1">
    <w:name w:val="WW_CharLFO11LVL1"/>
    <w:qFormat/>
    <w:rPr>
      <w:rFonts w:eastAsia="Arial Unicode MS"/>
    </w:rPr>
  </w:style>
  <w:style w:type="character" w:customStyle="1" w:styleId="WWCharLFO11LVL2">
    <w:name w:val="WW_CharLFO11LVL2"/>
    <w:qFormat/>
    <w:rPr>
      <w:rFonts w:ascii="Courier New" w:hAnsi="Courier New"/>
    </w:rPr>
  </w:style>
  <w:style w:type="character" w:customStyle="1" w:styleId="WWCharLFO11LVL3">
    <w:name w:val="WW_CharLFO11LVL3"/>
    <w:qFormat/>
    <w:rPr>
      <w:rFonts w:ascii="Wingdings" w:hAnsi="Wingdings"/>
    </w:rPr>
  </w:style>
  <w:style w:type="character" w:customStyle="1" w:styleId="WWCharLFO11LVL4">
    <w:name w:val="WW_CharLFO11LVL4"/>
    <w:qFormat/>
    <w:rPr>
      <w:rFonts w:ascii="Symbol" w:hAnsi="Symbol"/>
    </w:rPr>
  </w:style>
  <w:style w:type="character" w:customStyle="1" w:styleId="WWCharLFO11LVL5">
    <w:name w:val="WW_CharLFO11LVL5"/>
    <w:qFormat/>
    <w:rPr>
      <w:rFonts w:ascii="Courier New" w:hAnsi="Courier New"/>
    </w:rPr>
  </w:style>
  <w:style w:type="character" w:customStyle="1" w:styleId="WWCharLFO11LVL6">
    <w:name w:val="WW_CharLFO11LVL6"/>
    <w:qFormat/>
    <w:rPr>
      <w:rFonts w:ascii="Wingdings" w:hAnsi="Wingdings"/>
    </w:rPr>
  </w:style>
  <w:style w:type="character" w:customStyle="1" w:styleId="WWCharLFO11LVL7">
    <w:name w:val="WW_CharLFO11LVL7"/>
    <w:qFormat/>
    <w:rPr>
      <w:rFonts w:ascii="Symbol" w:hAnsi="Symbol"/>
    </w:rPr>
  </w:style>
  <w:style w:type="character" w:customStyle="1" w:styleId="WWCharLFO11LVL8">
    <w:name w:val="WW_CharLFO11LVL8"/>
    <w:qFormat/>
    <w:rPr>
      <w:rFonts w:ascii="Courier New" w:hAnsi="Courier New"/>
    </w:rPr>
  </w:style>
  <w:style w:type="character" w:customStyle="1" w:styleId="WWCharLFO11LVL9">
    <w:name w:val="WW_CharLFO11LVL9"/>
    <w:qFormat/>
    <w:rPr>
      <w:rFonts w:ascii="Wingdings" w:hAnsi="Wingdings"/>
    </w:rPr>
  </w:style>
  <w:style w:type="character" w:customStyle="1" w:styleId="WWCharLFO12LVL1">
    <w:name w:val="WW_CharLFO12LVL1"/>
    <w:qFormat/>
    <w:rPr>
      <w:rFonts w:ascii="Palatino Linotype" w:hAnsi="Palatino Linotype"/>
    </w:rPr>
  </w:style>
  <w:style w:type="character" w:customStyle="1" w:styleId="WWCharLFO12LVL2">
    <w:name w:val="WW_CharLFO12LVL2"/>
    <w:qFormat/>
    <w:rPr>
      <w:rFonts w:ascii="Palatino Linotype" w:hAnsi="Palatino Linotype"/>
    </w:rPr>
  </w:style>
  <w:style w:type="character" w:customStyle="1" w:styleId="WWCharLFO12LVL3">
    <w:name w:val="WW_CharLFO12LVL3"/>
    <w:qFormat/>
    <w:rPr>
      <w:rFonts w:ascii="Palatino Linotype" w:hAnsi="Palatino Linotype"/>
    </w:rPr>
  </w:style>
  <w:style w:type="character" w:customStyle="1" w:styleId="WWCharLFO13LVL1">
    <w:name w:val="WW_CharLFO13LVL1"/>
    <w:qFormat/>
    <w:rPr>
      <w:rFonts w:ascii="Palatino Linotype" w:hAnsi="Palatino Linotype"/>
    </w:rPr>
  </w:style>
  <w:style w:type="character" w:customStyle="1" w:styleId="WWCharLFO13LVL2">
    <w:name w:val="WW_CharLFO13LVL2"/>
    <w:qFormat/>
    <w:rPr>
      <w:rFonts w:ascii="Palatino Linotype" w:hAnsi="Palatino Linotype"/>
    </w:rPr>
  </w:style>
  <w:style w:type="character" w:customStyle="1" w:styleId="WWCharLFO13LVL3">
    <w:name w:val="WW_CharLFO13LVL3"/>
    <w:qFormat/>
    <w:rPr>
      <w:rFonts w:ascii="Palatino Linotype" w:hAnsi="Palatino Linotype"/>
    </w:rPr>
  </w:style>
  <w:style w:type="character" w:customStyle="1" w:styleId="WWCharLFO14LVL1">
    <w:name w:val="WW_CharLFO14LVL1"/>
    <w:qFormat/>
    <w:rPr>
      <w:rFonts w:ascii="Palatino Linotype" w:hAnsi="Palatino Linotype"/>
    </w:rPr>
  </w:style>
  <w:style w:type="character" w:customStyle="1" w:styleId="WWCharLFO14LVL2">
    <w:name w:val="WW_CharLFO14LVL2"/>
    <w:qFormat/>
    <w:rPr>
      <w:rFonts w:ascii="Palatino Linotype" w:hAnsi="Palatino Linotype"/>
    </w:rPr>
  </w:style>
  <w:style w:type="character" w:customStyle="1" w:styleId="WWCharLFO14LVL3">
    <w:name w:val="WW_CharLFO14LVL3"/>
    <w:qFormat/>
    <w:rPr>
      <w:rFonts w:ascii="Palatino Linotype" w:hAnsi="Palatino Linotype"/>
    </w:rPr>
  </w:style>
  <w:style w:type="character" w:customStyle="1" w:styleId="WWCharLFO15LVL1">
    <w:name w:val="WW_CharLFO15LVL1"/>
    <w:qFormat/>
    <w:rPr>
      <w:rFonts w:ascii="Palatino Linotype" w:hAnsi="Palatino Linotype"/>
    </w:rPr>
  </w:style>
  <w:style w:type="character" w:customStyle="1" w:styleId="WWCharLFO15LVL2">
    <w:name w:val="WW_CharLFO15LVL2"/>
    <w:qFormat/>
    <w:rPr>
      <w:rFonts w:ascii="Palatino Linotype" w:hAnsi="Palatino Linotype"/>
    </w:rPr>
  </w:style>
  <w:style w:type="character" w:customStyle="1" w:styleId="WWCharLFO15LVL3">
    <w:name w:val="WW_CharLFO15LVL3"/>
    <w:qFormat/>
    <w:rPr>
      <w:rFonts w:ascii="Palatino Linotype" w:hAnsi="Palatino Linotype"/>
    </w:rPr>
  </w:style>
  <w:style w:type="character" w:customStyle="1" w:styleId="WWCharLFO16LVL1">
    <w:name w:val="WW_CharLFO16LVL1"/>
    <w:qFormat/>
    <w:rPr>
      <w:rFonts w:ascii="Palatino Linotype" w:hAnsi="Palatino Linotype"/>
    </w:rPr>
  </w:style>
  <w:style w:type="character" w:customStyle="1" w:styleId="WWCharLFO16LVL2">
    <w:name w:val="WW_CharLFO16LVL2"/>
    <w:qFormat/>
    <w:rPr>
      <w:rFonts w:ascii="Palatino Linotype" w:hAnsi="Palatino Linotype"/>
    </w:rPr>
  </w:style>
  <w:style w:type="character" w:customStyle="1" w:styleId="WWCharLFO16LVL3">
    <w:name w:val="WW_CharLFO16LVL3"/>
    <w:qFormat/>
    <w:rPr>
      <w:rFonts w:ascii="Palatino Linotype" w:hAnsi="Palatino Linotype"/>
    </w:rPr>
  </w:style>
  <w:style w:type="character" w:customStyle="1" w:styleId="WWCharLFO17LVL1">
    <w:name w:val="WW_CharLFO17LVL1"/>
    <w:qFormat/>
    <w:rPr>
      <w:rFonts w:ascii="Palatino Linotype" w:hAnsi="Palatino Linotype"/>
    </w:rPr>
  </w:style>
  <w:style w:type="character" w:customStyle="1" w:styleId="WWCharLFO17LVL2">
    <w:name w:val="WW_CharLFO17LVL2"/>
    <w:qFormat/>
    <w:rPr>
      <w:rFonts w:ascii="Palatino Linotype" w:hAnsi="Palatino Linotype"/>
    </w:rPr>
  </w:style>
  <w:style w:type="character" w:customStyle="1" w:styleId="WWCharLFO17LVL3">
    <w:name w:val="WW_CharLFO17LVL3"/>
    <w:qFormat/>
    <w:rPr>
      <w:rFonts w:ascii="Palatino Linotype" w:hAnsi="Palatino Linotype"/>
    </w:rPr>
  </w:style>
  <w:style w:type="character" w:customStyle="1" w:styleId="WWCharLFO18LVL1">
    <w:name w:val="WW_CharLFO18LVL1"/>
    <w:qFormat/>
    <w:rPr>
      <w:rFonts w:ascii="Palatino Linotype" w:hAnsi="Palatino Linotype"/>
    </w:rPr>
  </w:style>
  <w:style w:type="character" w:customStyle="1" w:styleId="WWCharLFO18LVL2">
    <w:name w:val="WW_CharLFO18LVL2"/>
    <w:qFormat/>
    <w:rPr>
      <w:rFonts w:ascii="Palatino Linotype" w:hAnsi="Palatino Linotype"/>
    </w:rPr>
  </w:style>
  <w:style w:type="character" w:customStyle="1" w:styleId="WWCharLFO18LVL3">
    <w:name w:val="WW_CharLFO18LVL3"/>
    <w:qFormat/>
    <w:rPr>
      <w:rFonts w:ascii="Palatino Linotype" w:hAnsi="Palatino Linotype"/>
    </w:rPr>
  </w:style>
  <w:style w:type="character" w:customStyle="1" w:styleId="WWCharLFO19LVL1">
    <w:name w:val="WW_CharLFO19LVL1"/>
    <w:qFormat/>
    <w:rPr>
      <w:rFonts w:ascii="Palatino Linotype" w:hAnsi="Palatino Linotype"/>
    </w:rPr>
  </w:style>
  <w:style w:type="character" w:customStyle="1" w:styleId="WWCharLFO19LVL2">
    <w:name w:val="WW_CharLFO19LVL2"/>
    <w:qFormat/>
    <w:rPr>
      <w:rFonts w:ascii="Palatino Linotype" w:hAnsi="Palatino Linotype"/>
    </w:rPr>
  </w:style>
  <w:style w:type="character" w:customStyle="1" w:styleId="WWCharLFO19LVL3">
    <w:name w:val="WW_CharLFO19LVL3"/>
    <w:qFormat/>
    <w:rPr>
      <w:rFonts w:ascii="Palatino Linotype" w:hAnsi="Palatino Linotype"/>
    </w:rPr>
  </w:style>
  <w:style w:type="character" w:customStyle="1" w:styleId="WWCharLFO20LVL1">
    <w:name w:val="WW_CharLFO20LVL1"/>
    <w:qFormat/>
    <w:rPr>
      <w:rFonts w:ascii="Palatino Linotype" w:hAnsi="Palatino Linotype"/>
    </w:rPr>
  </w:style>
  <w:style w:type="character" w:customStyle="1" w:styleId="WWCharLFO20LVL2">
    <w:name w:val="WW_CharLFO20LVL2"/>
    <w:qFormat/>
    <w:rPr>
      <w:rFonts w:ascii="Palatino Linotype" w:hAnsi="Palatino Linotype"/>
    </w:rPr>
  </w:style>
  <w:style w:type="character" w:customStyle="1" w:styleId="WWCharLFO20LVL3">
    <w:name w:val="WW_CharLFO20LVL3"/>
    <w:qFormat/>
    <w:rPr>
      <w:rFonts w:ascii="Palatino Linotype" w:hAnsi="Palatino Linotype"/>
    </w:rPr>
  </w:style>
  <w:style w:type="character" w:customStyle="1" w:styleId="Funotenanker">
    <w:name w:val="Fußnotenanker"/>
    <w:qFormat/>
    <w:rPr>
      <w:vertAlign w:val="superscript"/>
    </w:rPr>
  </w:style>
  <w:style w:type="character" w:styleId="Endnotenzeichen">
    <w:name w:val="endnote reference"/>
    <w:qFormat/>
  </w:style>
  <w:style w:type="character" w:customStyle="1" w:styleId="Internetverknpfung">
    <w:name w:val="Internetverknüpfung"/>
    <w:rPr>
      <w:color w:val="000080"/>
      <w:u w:val="single"/>
    </w:rPr>
  </w:style>
  <w:style w:type="character" w:customStyle="1" w:styleId="BesuchteInternetverknpfung">
    <w:name w:val="Besuchte Internetverknüpfung"/>
    <w:rPr>
      <w:color w:val="800000"/>
      <w:u w:val="single"/>
    </w:rPr>
  </w:style>
  <w:style w:type="character" w:customStyle="1" w:styleId="Endnotenanker">
    <w:name w:val="Endnotenanker"/>
    <w:rPr>
      <w:vertAlign w:val="superscript"/>
    </w:rPr>
  </w:style>
  <w:style w:type="character" w:customStyle="1" w:styleId="Nummerierungszeichen">
    <w:name w:val="Nummerierungszeichen"/>
    <w:qFormat/>
  </w:style>
  <w:style w:type="paragraph" w:customStyle="1" w:styleId="berschrift">
    <w:name w:val="Überschrift"/>
    <w:basedOn w:val="Standard"/>
    <w:next w:val="Textkrper"/>
    <w:qFormat/>
    <w:pPr>
      <w:keepNext/>
      <w:spacing w:before="240" w:after="120"/>
    </w:pPr>
    <w:rPr>
      <w:rFonts w:ascii="Liberation Sans" w:eastAsia="MS Gothic" w:hAnsi="Liberation Sans" w:cs="Tahoma"/>
      <w:sz w:val="28"/>
      <w:szCs w:val="28"/>
    </w:rPr>
  </w:style>
  <w:style w:type="paragraph" w:styleId="Textkrper">
    <w:name w:val="Body Text"/>
    <w:basedOn w:val="Standard"/>
    <w:pPr>
      <w:spacing w:after="140" w:line="276" w:lineRule="auto"/>
    </w:pPr>
  </w:style>
  <w:style w:type="paragraph" w:styleId="Anrede">
    <w:name w:val="Salutation"/>
    <w:basedOn w:val="Standard"/>
    <w:next w:val="Subscriptio"/>
    <w:qFormat/>
    <w:pPr>
      <w:spacing w:after="227"/>
    </w:pPr>
  </w:style>
  <w:style w:type="paragraph" w:customStyle="1" w:styleId="Adresse">
    <w:name w:val="Adresse"/>
    <w:basedOn w:val="Standard"/>
    <w:qFormat/>
    <w:pPr>
      <w:spacing w:before="240" w:after="0" w:line="300" w:lineRule="exact"/>
      <w:jc w:val="left"/>
    </w:pPr>
  </w:style>
  <w:style w:type="paragraph" w:customStyle="1" w:styleId="Betreff">
    <w:name w:val="Betreff"/>
    <w:basedOn w:val="Standard"/>
    <w:qFormat/>
    <w:pPr>
      <w:tabs>
        <w:tab w:val="left" w:pos="907"/>
      </w:tabs>
      <w:spacing w:before="720" w:after="720"/>
      <w:ind w:left="907" w:hanging="907"/>
    </w:pPr>
  </w:style>
  <w:style w:type="paragraph" w:customStyle="1" w:styleId="Subscriptio">
    <w:name w:val="Subscriptio"/>
    <w:basedOn w:val="Standard"/>
    <w:qFormat/>
    <w:pPr>
      <w:spacing w:after="0"/>
      <w:jc w:val="left"/>
    </w:pPr>
  </w:style>
  <w:style w:type="paragraph" w:customStyle="1" w:styleId="Kopf-undFuzeile">
    <w:name w:val="Kopf- und Fußzeile"/>
    <w:basedOn w:val="Standard"/>
    <w:qFormat/>
    <w:pPr>
      <w:suppressLineNumbers/>
      <w:tabs>
        <w:tab w:val="center" w:pos="4819"/>
        <w:tab w:val="right" w:pos="9638"/>
      </w:tabs>
    </w:pPr>
  </w:style>
  <w:style w:type="paragraph" w:styleId="Kopfzeile">
    <w:name w:val="header"/>
    <w:basedOn w:val="Standard"/>
    <w:pPr>
      <w:pBdr>
        <w:bottom w:val="single" w:sz="12" w:space="3" w:color="000000"/>
      </w:pBdr>
      <w:tabs>
        <w:tab w:val="center" w:pos="4536"/>
        <w:tab w:val="right" w:pos="9072"/>
      </w:tabs>
      <w:spacing w:after="240"/>
      <w:jc w:val="center"/>
    </w:pPr>
    <w:rPr>
      <w:rFonts w:eastAsia="Arial Unicode MS" w:cs="Arial Unicode MS"/>
      <w:sz w:val="14"/>
      <w:szCs w:val="21"/>
    </w:rPr>
  </w:style>
  <w:style w:type="paragraph" w:styleId="Fuzeile">
    <w:name w:val="footer"/>
    <w:basedOn w:val="Standard"/>
    <w:pPr>
      <w:pBdr>
        <w:top w:val="single" w:sz="12" w:space="3" w:color="000000"/>
      </w:pBdr>
      <w:tabs>
        <w:tab w:val="center" w:pos="4536"/>
        <w:tab w:val="right" w:pos="9072"/>
      </w:tabs>
      <w:spacing w:before="240" w:after="0"/>
      <w:ind w:left="-57" w:right="-57"/>
      <w:jc w:val="center"/>
    </w:pPr>
    <w:rPr>
      <w:rFonts w:eastAsia="Arial Unicode MS" w:cs="Arial Unicode MS"/>
      <w:spacing w:val="-2"/>
      <w:sz w:val="15"/>
      <w:szCs w:val="21"/>
    </w:rPr>
  </w:style>
  <w:style w:type="paragraph" w:customStyle="1" w:styleId="Datierung">
    <w:name w:val="Datierung"/>
    <w:basedOn w:val="Standard"/>
    <w:qFormat/>
    <w:pPr>
      <w:spacing w:before="480" w:after="0"/>
      <w:ind w:right="113"/>
      <w:jc w:val="right"/>
    </w:pPr>
    <w:rPr>
      <w:bCs/>
    </w:rPr>
  </w:style>
  <w:style w:type="paragraph" w:customStyle="1" w:styleId="Anlagen">
    <w:name w:val="Anlagen"/>
    <w:basedOn w:val="Standard"/>
    <w:qFormat/>
    <w:pPr>
      <w:tabs>
        <w:tab w:val="left" w:pos="1021"/>
      </w:tabs>
      <w:spacing w:before="480" w:after="0"/>
      <w:ind w:left="1021" w:hanging="1021"/>
      <w:jc w:val="left"/>
    </w:pPr>
  </w:style>
  <w:style w:type="paragraph" w:styleId="Funotentext">
    <w:name w:val="footnote text"/>
    <w:basedOn w:val="Standard"/>
    <w:qFormat/>
  </w:style>
  <w:style w:type="paragraph" w:styleId="Verzeichnis1">
    <w:name w:val="toc 1"/>
    <w:basedOn w:val="Standard"/>
    <w:next w:val="Standard"/>
    <w:autoRedefine/>
    <w:qFormat/>
    <w:pPr>
      <w:spacing w:before="60" w:after="0"/>
      <w:jc w:val="left"/>
    </w:pPr>
    <w:rPr>
      <w:b/>
      <w:caps/>
    </w:rPr>
  </w:style>
  <w:style w:type="paragraph" w:styleId="Verzeichnis2">
    <w:name w:val="toc 2"/>
    <w:basedOn w:val="Standard"/>
    <w:autoRedefine/>
    <w:qFormat/>
    <w:pPr>
      <w:spacing w:before="120" w:after="0"/>
      <w:ind w:left="238"/>
      <w:jc w:val="left"/>
    </w:pPr>
    <w:rPr>
      <w:smallCaps/>
    </w:rPr>
  </w:style>
  <w:style w:type="paragraph" w:styleId="Verzeichnis3">
    <w:name w:val="toc 3"/>
    <w:basedOn w:val="Standard"/>
    <w:next w:val="Standard"/>
    <w:autoRedefine/>
    <w:qFormat/>
    <w:pPr>
      <w:spacing w:before="120" w:after="0"/>
      <w:ind w:left="482"/>
      <w:jc w:val="left"/>
    </w:pPr>
    <w:rPr>
      <w:i/>
    </w:rPr>
  </w:style>
  <w:style w:type="paragraph" w:styleId="Verzeichnis4">
    <w:name w:val="toc 4"/>
    <w:basedOn w:val="Standard"/>
    <w:next w:val="Standard"/>
    <w:autoRedefine/>
    <w:qFormat/>
    <w:pPr>
      <w:spacing w:before="120" w:after="0"/>
      <w:ind w:left="720"/>
      <w:jc w:val="left"/>
    </w:pPr>
    <w:rPr>
      <w:sz w:val="18"/>
    </w:rPr>
  </w:style>
  <w:style w:type="paragraph" w:styleId="Verzeichnis5">
    <w:name w:val="toc 5"/>
    <w:basedOn w:val="Standard"/>
    <w:next w:val="Standard"/>
    <w:autoRedefine/>
    <w:qFormat/>
    <w:pPr>
      <w:spacing w:before="120" w:after="0"/>
      <w:ind w:left="958"/>
      <w:jc w:val="left"/>
    </w:pPr>
    <w:rPr>
      <w:sz w:val="18"/>
    </w:rPr>
  </w:style>
  <w:style w:type="paragraph" w:styleId="Verzeichnis6">
    <w:name w:val="toc 6"/>
    <w:basedOn w:val="Standard"/>
    <w:next w:val="Standard"/>
    <w:autoRedefine/>
    <w:qFormat/>
    <w:pPr>
      <w:spacing w:before="120" w:after="0"/>
      <w:ind w:left="1202"/>
      <w:jc w:val="left"/>
    </w:pPr>
    <w:rPr>
      <w:sz w:val="18"/>
    </w:rPr>
  </w:style>
  <w:style w:type="paragraph" w:styleId="Verzeichnis7">
    <w:name w:val="toc 7"/>
    <w:basedOn w:val="Standard"/>
    <w:next w:val="Standard"/>
    <w:autoRedefine/>
    <w:qFormat/>
    <w:pPr>
      <w:tabs>
        <w:tab w:val="right" w:leader="dot" w:pos="8221"/>
      </w:tabs>
      <w:spacing w:before="120" w:after="0"/>
      <w:ind w:left="1200"/>
      <w:jc w:val="left"/>
    </w:pPr>
    <w:rPr>
      <w:sz w:val="18"/>
    </w:rPr>
  </w:style>
  <w:style w:type="paragraph" w:styleId="Verzeichnis8">
    <w:name w:val="toc 8"/>
    <w:basedOn w:val="Verzeichnis7"/>
    <w:next w:val="Standard"/>
    <w:autoRedefine/>
    <w:qFormat/>
    <w:pPr>
      <w:ind w:left="1400"/>
    </w:pPr>
  </w:style>
  <w:style w:type="paragraph" w:styleId="Verzeichnis9">
    <w:name w:val="toc 9"/>
    <w:basedOn w:val="Standard"/>
    <w:next w:val="Standard"/>
    <w:autoRedefine/>
    <w:qFormat/>
    <w:pPr>
      <w:tabs>
        <w:tab w:val="right" w:leader="dot" w:pos="8221"/>
      </w:tabs>
      <w:spacing w:before="120" w:after="0"/>
      <w:ind w:left="1600"/>
      <w:jc w:val="left"/>
    </w:pPr>
    <w:rPr>
      <w:sz w:val="18"/>
    </w:rPr>
  </w:style>
  <w:style w:type="paragraph" w:customStyle="1" w:styleId="Absenderfeld">
    <w:name w:val="Absenderfeld"/>
    <w:basedOn w:val="Standard"/>
    <w:qFormat/>
    <w:pPr>
      <w:tabs>
        <w:tab w:val="right" w:pos="4819"/>
      </w:tabs>
      <w:spacing w:line="190" w:lineRule="exact"/>
      <w:ind w:left="2013"/>
      <w:jc w:val="left"/>
    </w:pPr>
    <w:rPr>
      <w:bCs/>
      <w:sz w:val="15"/>
    </w:rPr>
  </w:style>
  <w:style w:type="paragraph" w:customStyle="1" w:styleId="Absender-Adrefeld">
    <w:name w:val="Absender-Adreßfeld"/>
    <w:basedOn w:val="Standard"/>
    <w:qFormat/>
    <w:pPr>
      <w:spacing w:before="80" w:after="20"/>
    </w:pPr>
    <w:rPr>
      <w:sz w:val="14"/>
    </w:rPr>
  </w:style>
  <w:style w:type="paragraph" w:customStyle="1" w:styleId="Tabelleninhalt">
    <w:name w:val="Tabelleninhalt"/>
    <w:basedOn w:val="Standard"/>
    <w:qFormat/>
    <w:pPr>
      <w:suppressLineNumbers/>
    </w:pPr>
  </w:style>
  <w:style w:type="paragraph" w:customStyle="1" w:styleId="Listeninhalt">
    <w:name w:val="Listeninhalt"/>
    <w:basedOn w:val="Standard"/>
    <w:qFormat/>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968</Words>
  <Characters>6102</Characters>
  <Application>Microsoft Office Word</Application>
  <DocSecurity>0</DocSecurity>
  <Lines>50</Lines>
  <Paragraphs>14</Paragraphs>
  <ScaleCrop>false</ScaleCrop>
  <Company>Ketelhohn Ingenieurdienste</Company>
  <LinksUpToDate>false</LinksUpToDate>
  <CharactersWithSpaces>7056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Musterbrief</dc:title>
  <dc:subject/>
  <dc:creator/>
  <dc:description/>
  <cp:lastModifiedBy>Robert Ketelhohn</cp:lastModifiedBy>
  <cp:revision>2</cp:revision>
  <dcterms:created xsi:type="dcterms:W3CDTF">2020-11-16T18:39:00Z</dcterms:created>
  <dcterms:modified xsi:type="dcterms:W3CDTF">2020-11-16T17:59:00Z</dcterms:modified>
  <dc:language>de-DE</dc:language>
</cp:coreProperties>
</file>